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A9ABA" w14:textId="77777777" w:rsidR="00F66CAF" w:rsidRPr="005D004D" w:rsidRDefault="00F66CAF" w:rsidP="00DC7B6E">
      <w:pPr>
        <w:spacing w:after="0" w:line="240" w:lineRule="auto"/>
        <w:rPr>
          <w:rFonts w:asciiTheme="majorHAnsi" w:hAnsiTheme="majorHAnsi" w:cs="Times New Roman"/>
          <w:b/>
        </w:rPr>
      </w:pPr>
    </w:p>
    <w:p w14:paraId="7A04912D" w14:textId="37CDC9DC" w:rsidR="0007288A" w:rsidRDefault="001250FB" w:rsidP="0007288A">
      <w:pPr>
        <w:spacing w:after="0" w:line="240" w:lineRule="auto"/>
        <w:jc w:val="center"/>
        <w:rPr>
          <w:rFonts w:ascii="Cambria" w:hAnsi="Cambria" w:cs="Times New Roman"/>
          <w:b/>
        </w:rPr>
      </w:pPr>
      <w:r w:rsidRPr="001250FB">
        <w:rPr>
          <w:rFonts w:ascii="Cambria" w:hAnsi="Cambria" w:cs="Times New Roman"/>
          <w:b/>
        </w:rPr>
        <w:t>VENKATESHWARA INDUSTRIAL PROMOTION CO. LTD</w:t>
      </w:r>
    </w:p>
    <w:p w14:paraId="79C4AB6D" w14:textId="77777777" w:rsidR="001250FB" w:rsidRDefault="001250FB" w:rsidP="0007288A">
      <w:pPr>
        <w:spacing w:after="0" w:line="240" w:lineRule="auto"/>
        <w:jc w:val="center"/>
        <w:rPr>
          <w:rFonts w:ascii="Cambria" w:hAnsi="Cambria" w:cs="Times New Roman"/>
        </w:rPr>
      </w:pPr>
    </w:p>
    <w:p w14:paraId="1C426329" w14:textId="77777777" w:rsidR="00025AE4" w:rsidRPr="005D004D" w:rsidRDefault="00C430EC" w:rsidP="006B59EB">
      <w:pPr>
        <w:spacing w:after="0" w:line="240" w:lineRule="auto"/>
        <w:jc w:val="center"/>
        <w:rPr>
          <w:rFonts w:asciiTheme="majorHAnsi" w:hAnsiTheme="majorHAnsi" w:cs="Times New Roman"/>
          <w:b/>
          <w:u w:val="single"/>
        </w:rPr>
      </w:pPr>
      <w:r w:rsidRPr="005D004D">
        <w:rPr>
          <w:rFonts w:asciiTheme="majorHAnsi" w:hAnsiTheme="majorHAnsi" w:cs="Times New Roman"/>
          <w:b/>
          <w:u w:val="single"/>
        </w:rPr>
        <w:t>POLICY ON DISCLOSURE OF MATERIALITY OF EVENTS / INFORMATION</w:t>
      </w:r>
    </w:p>
    <w:p w14:paraId="39E2E074" w14:textId="77777777" w:rsidR="00F66CAF" w:rsidRPr="005D004D" w:rsidRDefault="00F66CAF" w:rsidP="006B59EB">
      <w:pPr>
        <w:spacing w:after="0" w:line="240" w:lineRule="auto"/>
        <w:jc w:val="center"/>
        <w:rPr>
          <w:rFonts w:asciiTheme="majorHAnsi" w:hAnsiTheme="majorHAnsi" w:cs="Times New Roman"/>
          <w:b/>
        </w:rPr>
      </w:pPr>
    </w:p>
    <w:p w14:paraId="4FC9A3B2" w14:textId="77777777" w:rsidR="00025AE4" w:rsidRPr="005D004D" w:rsidRDefault="00C430EC" w:rsidP="006B59EB">
      <w:pPr>
        <w:spacing w:after="0" w:line="240" w:lineRule="auto"/>
        <w:jc w:val="center"/>
        <w:rPr>
          <w:rFonts w:asciiTheme="majorHAnsi" w:hAnsiTheme="majorHAnsi" w:cs="Times New Roman"/>
          <w:b/>
        </w:rPr>
      </w:pPr>
      <w:r w:rsidRPr="005D004D">
        <w:rPr>
          <w:rFonts w:asciiTheme="majorHAnsi" w:hAnsiTheme="majorHAnsi" w:cs="Times New Roman"/>
          <w:b/>
        </w:rPr>
        <w:t>[In terms of Regulation 30 of SEBI (Listing Obligations &amp; Disclosure Requirements) Regulations, 2015]</w:t>
      </w:r>
    </w:p>
    <w:p w14:paraId="0599D08A" w14:textId="77777777" w:rsidR="006B59EB" w:rsidRPr="005D004D" w:rsidRDefault="006B59EB" w:rsidP="006B59EB">
      <w:pPr>
        <w:spacing w:after="0" w:line="240" w:lineRule="auto"/>
        <w:jc w:val="center"/>
        <w:rPr>
          <w:rFonts w:asciiTheme="majorHAnsi" w:hAnsiTheme="majorHAnsi" w:cs="Times New Roman"/>
          <w:b/>
        </w:rPr>
      </w:pPr>
    </w:p>
    <w:p w14:paraId="78E1EEAF" w14:textId="77777777" w:rsidR="00025AE4" w:rsidRPr="004F3B4D" w:rsidRDefault="00C54D24" w:rsidP="006B59EB">
      <w:pPr>
        <w:pStyle w:val="ListParagraph"/>
        <w:numPr>
          <w:ilvl w:val="0"/>
          <w:numId w:val="1"/>
        </w:numPr>
        <w:spacing w:after="0" w:line="240" w:lineRule="auto"/>
        <w:jc w:val="both"/>
        <w:rPr>
          <w:rFonts w:asciiTheme="majorHAnsi" w:hAnsiTheme="majorHAnsi" w:cs="Times New Roman"/>
          <w:b/>
          <w:u w:val="single"/>
        </w:rPr>
      </w:pPr>
      <w:r w:rsidRPr="004F3B4D">
        <w:rPr>
          <w:rFonts w:asciiTheme="majorHAnsi" w:hAnsiTheme="majorHAnsi" w:cs="Times New Roman"/>
          <w:b/>
          <w:u w:val="single"/>
        </w:rPr>
        <w:t>STATUTORY MANDATE</w:t>
      </w:r>
    </w:p>
    <w:p w14:paraId="0E8EA464" w14:textId="77777777" w:rsidR="00F66CAF" w:rsidRPr="004F3B4D" w:rsidRDefault="00F66CAF" w:rsidP="00F66CAF">
      <w:pPr>
        <w:pStyle w:val="ListParagraph"/>
        <w:spacing w:after="0" w:line="240" w:lineRule="auto"/>
        <w:jc w:val="both"/>
        <w:rPr>
          <w:rFonts w:asciiTheme="majorHAnsi" w:hAnsiTheme="majorHAnsi" w:cs="Times New Roman"/>
          <w:b/>
        </w:rPr>
      </w:pPr>
    </w:p>
    <w:p w14:paraId="11454AB3" w14:textId="4AB745DC" w:rsidR="00025AE4" w:rsidRPr="004F3B4D" w:rsidRDefault="00C430EC" w:rsidP="006B59EB">
      <w:pPr>
        <w:spacing w:after="0" w:line="240" w:lineRule="auto"/>
        <w:jc w:val="both"/>
        <w:rPr>
          <w:rFonts w:asciiTheme="majorHAnsi" w:hAnsiTheme="majorHAnsi" w:cs="Times New Roman"/>
        </w:rPr>
      </w:pPr>
      <w:r w:rsidRPr="004F3B4D">
        <w:rPr>
          <w:rFonts w:asciiTheme="majorHAnsi" w:hAnsiTheme="majorHAnsi" w:cs="Times New Roman"/>
        </w:rPr>
        <w:t>The Board of Directors (</w:t>
      </w:r>
      <w:r w:rsidR="00E01BAD" w:rsidRPr="004F3B4D">
        <w:rPr>
          <w:rFonts w:asciiTheme="majorHAnsi" w:hAnsiTheme="majorHAnsi" w:cs="Times New Roman"/>
        </w:rPr>
        <w:t>t</w:t>
      </w:r>
      <w:r w:rsidRPr="004F3B4D">
        <w:rPr>
          <w:rFonts w:asciiTheme="majorHAnsi" w:hAnsiTheme="majorHAnsi" w:cs="Times New Roman"/>
        </w:rPr>
        <w:t xml:space="preserve">he </w:t>
      </w:r>
      <w:r w:rsidRPr="004F3B4D">
        <w:rPr>
          <w:rFonts w:asciiTheme="majorHAnsi" w:hAnsiTheme="majorHAnsi" w:cs="Times New Roman"/>
          <w:b/>
        </w:rPr>
        <w:t>“Board</w:t>
      </w:r>
      <w:r w:rsidR="001250FB">
        <w:rPr>
          <w:rFonts w:asciiTheme="majorHAnsi" w:hAnsiTheme="majorHAnsi" w:cs="Times New Roman"/>
          <w:b/>
        </w:rPr>
        <w:t xml:space="preserve"> VIPCL </w:t>
      </w:r>
      <w:r w:rsidR="001250FB" w:rsidRPr="001250FB">
        <w:rPr>
          <w:rFonts w:asciiTheme="majorHAnsi" w:hAnsiTheme="majorHAnsi" w:cs="Times New Roman"/>
          <w:b/>
        </w:rPr>
        <w:t>VENKATESHWARA INDUSTRIAL PROMOTION CO. LTD</w:t>
      </w:r>
      <w:r w:rsidR="00A64AE3" w:rsidRPr="004F3B4D">
        <w:rPr>
          <w:rFonts w:asciiTheme="majorHAnsi" w:hAnsiTheme="majorHAnsi" w:cs="Times New Roman"/>
          <w:b/>
        </w:rPr>
        <w:t xml:space="preserve"> </w:t>
      </w:r>
      <w:r w:rsidRPr="004F3B4D">
        <w:rPr>
          <w:rFonts w:asciiTheme="majorHAnsi" w:hAnsiTheme="majorHAnsi" w:cs="Times New Roman"/>
        </w:rPr>
        <w:t xml:space="preserve">(the </w:t>
      </w:r>
      <w:r w:rsidRPr="004F3B4D">
        <w:rPr>
          <w:rFonts w:asciiTheme="majorHAnsi" w:hAnsiTheme="majorHAnsi" w:cs="Times New Roman"/>
          <w:b/>
        </w:rPr>
        <w:t>“Company”/ “</w:t>
      </w:r>
      <w:r w:rsidR="001250FB">
        <w:rPr>
          <w:rFonts w:asciiTheme="majorHAnsi" w:hAnsiTheme="majorHAnsi" w:cs="Times New Roman"/>
          <w:b/>
        </w:rPr>
        <w:t>VIPCL</w:t>
      </w:r>
      <w:r w:rsidRPr="004F3B4D">
        <w:rPr>
          <w:rFonts w:asciiTheme="majorHAnsi" w:hAnsiTheme="majorHAnsi" w:cs="Times New Roman"/>
          <w:b/>
        </w:rPr>
        <w:t>”</w:t>
      </w:r>
      <w:r w:rsidRPr="004F3B4D">
        <w:rPr>
          <w:rFonts w:asciiTheme="majorHAnsi" w:hAnsiTheme="majorHAnsi" w:cs="Times New Roman"/>
        </w:rPr>
        <w:t>) has adopted the following policy and procedures with regard to disclosure of material events which are necessary to be disclosed to the stock exchanges based on criteria as may be deemed necessary and has been adopted as part of this policy. The Board may review and amend this policy from time to time.</w:t>
      </w:r>
    </w:p>
    <w:p w14:paraId="2A4F7B9D" w14:textId="77777777" w:rsidR="006B59EB" w:rsidRPr="004F3B4D" w:rsidRDefault="006B59EB" w:rsidP="006B59EB">
      <w:pPr>
        <w:spacing w:after="0" w:line="240" w:lineRule="auto"/>
        <w:jc w:val="both"/>
        <w:rPr>
          <w:rFonts w:asciiTheme="majorHAnsi" w:hAnsiTheme="majorHAnsi" w:cs="Times New Roman"/>
        </w:rPr>
      </w:pPr>
    </w:p>
    <w:p w14:paraId="4645ED8F" w14:textId="77777777" w:rsidR="00025AE4" w:rsidRPr="004F3B4D" w:rsidRDefault="00C430EC" w:rsidP="006B59EB">
      <w:pPr>
        <w:spacing w:after="0" w:line="240" w:lineRule="auto"/>
        <w:jc w:val="both"/>
        <w:rPr>
          <w:rFonts w:asciiTheme="majorHAnsi" w:hAnsiTheme="majorHAnsi" w:cs="Times New Roman"/>
        </w:rPr>
      </w:pPr>
      <w:r w:rsidRPr="004F3B4D">
        <w:rPr>
          <w:rFonts w:asciiTheme="majorHAnsi" w:hAnsiTheme="majorHAnsi" w:cs="Times New Roman"/>
        </w:rPr>
        <w:t>This Policy will be applicable to the Company with effect from the date of approval of Board of Directors in terms of Regulation 30 of Chapter IV of Securities and Exchange Board of India (Listing Obligations and Disclosure Requirements) Regulations, 2015 (</w:t>
      </w:r>
      <w:r w:rsidRPr="004F3B4D">
        <w:rPr>
          <w:rFonts w:asciiTheme="majorHAnsi" w:hAnsiTheme="majorHAnsi" w:cs="Times New Roman"/>
          <w:b/>
        </w:rPr>
        <w:t>“LODR”</w:t>
      </w:r>
      <w:r w:rsidRPr="004F3B4D">
        <w:rPr>
          <w:rFonts w:asciiTheme="majorHAnsi" w:hAnsiTheme="majorHAnsi" w:cs="Times New Roman"/>
        </w:rPr>
        <w:t xml:space="preserve">). </w:t>
      </w:r>
    </w:p>
    <w:p w14:paraId="03B75148" w14:textId="77777777" w:rsidR="006B59EB" w:rsidRPr="004F3B4D" w:rsidRDefault="006B59EB" w:rsidP="006B59EB">
      <w:pPr>
        <w:spacing w:after="0" w:line="240" w:lineRule="auto"/>
        <w:jc w:val="both"/>
        <w:rPr>
          <w:rFonts w:asciiTheme="majorHAnsi" w:hAnsiTheme="majorHAnsi" w:cs="Times New Roman"/>
        </w:rPr>
      </w:pPr>
    </w:p>
    <w:p w14:paraId="2AB5F1D4" w14:textId="77777777" w:rsidR="00025AE4" w:rsidRPr="004F3B4D" w:rsidRDefault="00C54D24" w:rsidP="006B59EB">
      <w:pPr>
        <w:pStyle w:val="ListParagraph"/>
        <w:numPr>
          <w:ilvl w:val="0"/>
          <w:numId w:val="1"/>
        </w:numPr>
        <w:spacing w:after="0" w:line="240" w:lineRule="auto"/>
        <w:jc w:val="both"/>
        <w:rPr>
          <w:rFonts w:asciiTheme="majorHAnsi" w:hAnsiTheme="majorHAnsi" w:cs="Times New Roman"/>
          <w:b/>
          <w:u w:val="single"/>
        </w:rPr>
      </w:pPr>
      <w:r w:rsidRPr="004F3B4D">
        <w:rPr>
          <w:rFonts w:asciiTheme="majorHAnsi" w:hAnsiTheme="majorHAnsi" w:cs="Times New Roman"/>
          <w:b/>
          <w:u w:val="single"/>
        </w:rPr>
        <w:t xml:space="preserve">POLICY OBJECTIVE AND SCOPE </w:t>
      </w:r>
    </w:p>
    <w:p w14:paraId="210B0E1C" w14:textId="77777777" w:rsidR="00BF6C4B" w:rsidRPr="004F3B4D" w:rsidRDefault="00BF6C4B">
      <w:pPr>
        <w:spacing w:after="0" w:line="240" w:lineRule="auto"/>
        <w:jc w:val="both"/>
        <w:rPr>
          <w:rFonts w:asciiTheme="majorHAnsi" w:hAnsiTheme="majorHAnsi" w:cs="Times New Roman"/>
          <w:b/>
        </w:rPr>
      </w:pPr>
    </w:p>
    <w:p w14:paraId="40291593" w14:textId="77777777" w:rsidR="00025AE4" w:rsidRPr="004F3B4D" w:rsidRDefault="00C430EC" w:rsidP="006B59EB">
      <w:pPr>
        <w:spacing w:after="0" w:line="240" w:lineRule="auto"/>
        <w:jc w:val="both"/>
        <w:rPr>
          <w:rFonts w:asciiTheme="majorHAnsi" w:hAnsiTheme="majorHAnsi" w:cs="Times New Roman"/>
        </w:rPr>
      </w:pPr>
      <w:r w:rsidRPr="004F3B4D">
        <w:rPr>
          <w:rFonts w:asciiTheme="majorHAnsi" w:hAnsiTheme="majorHAnsi" w:cs="Times New Roman"/>
        </w:rPr>
        <w:t>To determine the events and information which in the opinion of the Board are Material and needs to be disclosed to the Stock Exchanges.</w:t>
      </w:r>
    </w:p>
    <w:p w14:paraId="032D743C" w14:textId="77777777" w:rsidR="006B59EB" w:rsidRPr="004F3B4D" w:rsidRDefault="006B59EB" w:rsidP="006B59EB">
      <w:pPr>
        <w:spacing w:after="0" w:line="240" w:lineRule="auto"/>
        <w:jc w:val="both"/>
        <w:rPr>
          <w:rFonts w:asciiTheme="majorHAnsi" w:hAnsiTheme="majorHAnsi" w:cs="Times New Roman"/>
        </w:rPr>
      </w:pPr>
    </w:p>
    <w:p w14:paraId="01D0CE62" w14:textId="4CC523C6" w:rsidR="00025AE4" w:rsidRPr="004F3B4D" w:rsidRDefault="00C430EC" w:rsidP="006B59EB">
      <w:pPr>
        <w:spacing w:after="0" w:line="240" w:lineRule="auto"/>
        <w:jc w:val="both"/>
        <w:rPr>
          <w:rFonts w:asciiTheme="majorHAnsi" w:hAnsiTheme="majorHAnsi" w:cs="Times New Roman"/>
        </w:rPr>
      </w:pPr>
      <w:r w:rsidRPr="004F3B4D">
        <w:rPr>
          <w:rFonts w:asciiTheme="majorHAnsi" w:hAnsiTheme="majorHAnsi" w:cs="Times New Roman"/>
        </w:rPr>
        <w:t xml:space="preserve">The purpose of this document is to present a </w:t>
      </w:r>
      <w:proofErr w:type="gramStart"/>
      <w:r w:rsidRPr="004F3B4D">
        <w:rPr>
          <w:rFonts w:asciiTheme="majorHAnsi" w:hAnsiTheme="majorHAnsi" w:cs="Times New Roman"/>
        </w:rPr>
        <w:t>high level</w:t>
      </w:r>
      <w:proofErr w:type="gramEnd"/>
      <w:r w:rsidRPr="004F3B4D">
        <w:rPr>
          <w:rFonts w:asciiTheme="majorHAnsi" w:hAnsiTheme="majorHAnsi" w:cs="Times New Roman"/>
        </w:rPr>
        <w:t xml:space="preserve"> policy statement for </w:t>
      </w:r>
      <w:r w:rsidR="001250FB">
        <w:rPr>
          <w:rFonts w:asciiTheme="majorHAnsi" w:hAnsiTheme="majorHAnsi" w:cs="Times New Roman"/>
          <w:bCs/>
        </w:rPr>
        <w:t xml:space="preserve">VIPCL </w:t>
      </w:r>
      <w:r w:rsidRPr="004F3B4D">
        <w:rPr>
          <w:rFonts w:asciiTheme="majorHAnsi" w:hAnsiTheme="majorHAnsi" w:cs="Times New Roman"/>
        </w:rPr>
        <w:t>regarding disclosure of material events / information in accordance with the provisions of LODR.</w:t>
      </w:r>
    </w:p>
    <w:p w14:paraId="428A3C01" w14:textId="77777777" w:rsidR="006B59EB" w:rsidRPr="004F3B4D" w:rsidRDefault="006B59EB" w:rsidP="006B59EB">
      <w:pPr>
        <w:spacing w:after="0" w:line="240" w:lineRule="auto"/>
        <w:jc w:val="both"/>
        <w:rPr>
          <w:rFonts w:asciiTheme="majorHAnsi" w:hAnsiTheme="majorHAnsi" w:cs="Times New Roman"/>
        </w:rPr>
      </w:pPr>
    </w:p>
    <w:p w14:paraId="4C2CB7E4" w14:textId="24E62B8D" w:rsidR="00025AE4" w:rsidRPr="004F3B4D" w:rsidRDefault="00C430EC" w:rsidP="006B59EB">
      <w:pPr>
        <w:spacing w:after="0" w:line="240" w:lineRule="auto"/>
        <w:jc w:val="both"/>
        <w:rPr>
          <w:rFonts w:asciiTheme="majorHAnsi" w:hAnsiTheme="majorHAnsi" w:cs="Times New Roman"/>
        </w:rPr>
      </w:pPr>
      <w:r w:rsidRPr="004F3B4D">
        <w:rPr>
          <w:rFonts w:asciiTheme="majorHAnsi" w:hAnsiTheme="majorHAnsi" w:cs="Times New Roman"/>
        </w:rPr>
        <w:t xml:space="preserve">The policy intends to define </w:t>
      </w:r>
      <w:r w:rsidR="001250FB">
        <w:rPr>
          <w:rFonts w:asciiTheme="majorHAnsi" w:hAnsiTheme="majorHAnsi" w:cs="Times New Roman"/>
          <w:bCs/>
        </w:rPr>
        <w:t>VIPCL</w:t>
      </w:r>
      <w:r w:rsidRPr="004F3B4D">
        <w:rPr>
          <w:rFonts w:asciiTheme="majorHAnsi" w:hAnsiTheme="majorHAnsi" w:cs="Times New Roman"/>
        </w:rPr>
        <w:t>’s</w:t>
      </w:r>
      <w:r w:rsidR="001537C9" w:rsidRPr="004F3B4D">
        <w:rPr>
          <w:rFonts w:asciiTheme="majorHAnsi" w:hAnsiTheme="majorHAnsi" w:cs="Times New Roman"/>
        </w:rPr>
        <w:t xml:space="preserve"> policy on disclosure of events/</w:t>
      </w:r>
      <w:r w:rsidRPr="004F3B4D">
        <w:rPr>
          <w:rFonts w:asciiTheme="majorHAnsi" w:hAnsiTheme="majorHAnsi" w:cs="Times New Roman"/>
        </w:rPr>
        <w:t xml:space="preserve">information and to provide guidance to the Board of Directors, KMPs and other executives and staff working in </w:t>
      </w:r>
      <w:r w:rsidR="001250FB">
        <w:rPr>
          <w:rFonts w:asciiTheme="majorHAnsi" w:hAnsiTheme="majorHAnsi" w:cs="Times New Roman"/>
          <w:bCs/>
        </w:rPr>
        <w:t>VIPCL</w:t>
      </w:r>
      <w:r w:rsidR="001250FB" w:rsidRPr="004F3B4D">
        <w:rPr>
          <w:rFonts w:asciiTheme="majorHAnsi" w:hAnsiTheme="majorHAnsi" w:cs="Times New Roman"/>
        </w:rPr>
        <w:t xml:space="preserve"> </w:t>
      </w:r>
      <w:r w:rsidRPr="004F3B4D">
        <w:rPr>
          <w:rFonts w:asciiTheme="majorHAnsi" w:hAnsiTheme="majorHAnsi" w:cs="Times New Roman"/>
        </w:rPr>
        <w:t xml:space="preserve">in making decisions and undertakings and its responsibility </w:t>
      </w:r>
      <w:r w:rsidR="001537C9" w:rsidRPr="004F3B4D">
        <w:rPr>
          <w:rFonts w:asciiTheme="majorHAnsi" w:hAnsiTheme="majorHAnsi" w:cs="Times New Roman"/>
        </w:rPr>
        <w:t>about making public such events/</w:t>
      </w:r>
      <w:r w:rsidRPr="004F3B4D">
        <w:rPr>
          <w:rFonts w:asciiTheme="majorHAnsi" w:hAnsiTheme="majorHAnsi" w:cs="Times New Roman"/>
        </w:rPr>
        <w:t>information which may materially affect the performance of the company and thereby the share price of the Company.</w:t>
      </w:r>
    </w:p>
    <w:p w14:paraId="6A978D9A" w14:textId="77777777" w:rsidR="006B59EB" w:rsidRPr="004F3B4D" w:rsidRDefault="006B59EB" w:rsidP="006B59EB">
      <w:pPr>
        <w:spacing w:after="0" w:line="240" w:lineRule="auto"/>
        <w:jc w:val="both"/>
        <w:rPr>
          <w:rFonts w:asciiTheme="majorHAnsi" w:hAnsiTheme="majorHAnsi" w:cs="Times New Roman"/>
        </w:rPr>
      </w:pPr>
    </w:p>
    <w:p w14:paraId="53203CBD" w14:textId="77777777" w:rsidR="00025AE4" w:rsidRPr="005D004D" w:rsidRDefault="00C430EC" w:rsidP="006B59EB">
      <w:pPr>
        <w:spacing w:after="0" w:line="240" w:lineRule="auto"/>
        <w:jc w:val="both"/>
        <w:rPr>
          <w:rFonts w:asciiTheme="majorHAnsi" w:hAnsiTheme="majorHAnsi" w:cs="Times New Roman"/>
        </w:rPr>
      </w:pPr>
      <w:r w:rsidRPr="004F3B4D">
        <w:rPr>
          <w:rFonts w:asciiTheme="majorHAnsi" w:hAnsiTheme="majorHAnsi" w:cs="Times New Roman"/>
        </w:rPr>
        <w:t>The policy is framed for the purpose of systematic identification</w:t>
      </w:r>
      <w:r w:rsidRPr="005D004D">
        <w:rPr>
          <w:rFonts w:asciiTheme="majorHAnsi" w:hAnsiTheme="majorHAnsi" w:cs="Times New Roman"/>
        </w:rPr>
        <w:t>, categorization, review, disclosure and updating of webs</w:t>
      </w:r>
      <w:r w:rsidR="001537C9">
        <w:rPr>
          <w:rFonts w:asciiTheme="majorHAnsi" w:hAnsiTheme="majorHAnsi" w:cs="Times New Roman"/>
        </w:rPr>
        <w:t>ite, the details of information/</w:t>
      </w:r>
      <w:r w:rsidRPr="005D004D">
        <w:rPr>
          <w:rFonts w:asciiTheme="majorHAnsi" w:hAnsiTheme="majorHAnsi" w:cs="Times New Roman"/>
        </w:rPr>
        <w:t>events which are considered material or which may have a bearing on the performance of the Company and which may materially affect the share price of the company.</w:t>
      </w:r>
    </w:p>
    <w:p w14:paraId="16C6F8CD" w14:textId="77777777" w:rsidR="006B59EB" w:rsidRPr="005D004D" w:rsidRDefault="006B59EB" w:rsidP="006B59EB">
      <w:pPr>
        <w:spacing w:after="0" w:line="240" w:lineRule="auto"/>
        <w:jc w:val="both"/>
        <w:rPr>
          <w:rFonts w:asciiTheme="majorHAnsi" w:hAnsiTheme="majorHAnsi" w:cs="Times New Roman"/>
        </w:rPr>
      </w:pPr>
    </w:p>
    <w:p w14:paraId="6A4397A7" w14:textId="77777777" w:rsidR="001B4A3C" w:rsidRPr="005D004D" w:rsidRDefault="00C430EC" w:rsidP="00F66CAF">
      <w:pPr>
        <w:spacing w:after="0" w:line="240" w:lineRule="auto"/>
        <w:jc w:val="both"/>
        <w:rPr>
          <w:rFonts w:asciiTheme="majorHAnsi" w:hAnsiTheme="majorHAnsi" w:cs="Times New Roman"/>
        </w:rPr>
      </w:pPr>
      <w:r w:rsidRPr="005D004D">
        <w:rPr>
          <w:rFonts w:asciiTheme="majorHAnsi" w:hAnsiTheme="majorHAnsi" w:cs="Times New Roman"/>
        </w:rPr>
        <w:t xml:space="preserve">All the Words and expressions used in this Policy, unless defined hereinafter, shall have meaning respectively assigned to them under LODR and in the absence of its definition or explanation therein, as per the Companies Act, 2013 and the Rules, Notifications and Circulars made/issued there under and as amended from time to time. </w:t>
      </w:r>
    </w:p>
    <w:p w14:paraId="3E1DD0F0" w14:textId="77777777" w:rsidR="006B59EB" w:rsidRPr="005D004D" w:rsidRDefault="006B59EB" w:rsidP="00F66CAF">
      <w:pPr>
        <w:pStyle w:val="ListParagraph"/>
        <w:spacing w:after="0" w:line="240" w:lineRule="auto"/>
        <w:jc w:val="both"/>
        <w:rPr>
          <w:rFonts w:asciiTheme="majorHAnsi" w:hAnsiTheme="majorHAnsi" w:cs="Times New Roman"/>
        </w:rPr>
      </w:pPr>
    </w:p>
    <w:p w14:paraId="18E556EA" w14:textId="77777777" w:rsidR="001B4A3C" w:rsidRPr="005D004D" w:rsidRDefault="00C54D24" w:rsidP="00087DB5">
      <w:pPr>
        <w:pStyle w:val="ListParagraph"/>
        <w:numPr>
          <w:ilvl w:val="0"/>
          <w:numId w:val="1"/>
        </w:numPr>
        <w:spacing w:after="0" w:line="240" w:lineRule="auto"/>
        <w:jc w:val="both"/>
        <w:rPr>
          <w:rFonts w:asciiTheme="majorHAnsi" w:hAnsiTheme="majorHAnsi" w:cs="Times New Roman"/>
          <w:u w:val="single"/>
        </w:rPr>
      </w:pPr>
      <w:r w:rsidRPr="005D004D">
        <w:rPr>
          <w:rFonts w:asciiTheme="majorHAnsi" w:hAnsiTheme="majorHAnsi" w:cs="Times New Roman"/>
          <w:b/>
          <w:u w:val="single"/>
        </w:rPr>
        <w:t>DEFINITIONS</w:t>
      </w:r>
    </w:p>
    <w:p w14:paraId="31440CAD" w14:textId="77777777" w:rsidR="00087DB5" w:rsidRPr="005D004D" w:rsidRDefault="00087DB5" w:rsidP="00087DB5">
      <w:pPr>
        <w:pStyle w:val="ListParagraph"/>
        <w:spacing w:after="0" w:line="240" w:lineRule="auto"/>
        <w:jc w:val="both"/>
        <w:rPr>
          <w:rFonts w:asciiTheme="majorHAnsi" w:hAnsiTheme="majorHAnsi" w:cs="Times New Roman"/>
        </w:rPr>
      </w:pPr>
    </w:p>
    <w:p w14:paraId="1AA70F22" w14:textId="77777777" w:rsidR="00025AE4"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b/>
        </w:rPr>
        <w:t>“Audit Committee or Committee”</w:t>
      </w:r>
      <w:r w:rsidRPr="005D004D">
        <w:rPr>
          <w:rFonts w:asciiTheme="majorHAnsi" w:hAnsiTheme="majorHAnsi" w:cs="Times New Roman"/>
        </w:rPr>
        <w:t xml:space="preserve"> means Audit Committee constituted by the Board of Directors of the Company, from time to time under the provisions of SEBI (LODR) Regulations, 2015, and / or the Companies Act, 2013.</w:t>
      </w:r>
    </w:p>
    <w:p w14:paraId="15FC4D5E" w14:textId="77777777" w:rsidR="006B59EB" w:rsidRPr="005D004D" w:rsidRDefault="006B59EB" w:rsidP="006B59EB">
      <w:pPr>
        <w:spacing w:after="0" w:line="240" w:lineRule="auto"/>
        <w:jc w:val="both"/>
        <w:rPr>
          <w:rFonts w:asciiTheme="majorHAnsi" w:hAnsiTheme="majorHAnsi" w:cs="Times New Roman"/>
        </w:rPr>
      </w:pPr>
    </w:p>
    <w:p w14:paraId="0B30C39A" w14:textId="00D3D3DF" w:rsidR="001B4A3C"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b/>
        </w:rPr>
        <w:t>“Board of Directors or Board”</w:t>
      </w:r>
      <w:r w:rsidRPr="005D004D">
        <w:rPr>
          <w:rFonts w:asciiTheme="majorHAnsi" w:hAnsiTheme="majorHAnsi" w:cs="Times New Roman"/>
        </w:rPr>
        <w:t xml:space="preserve"> means the Board of Directors of </w:t>
      </w:r>
      <w:r w:rsidR="001250FB" w:rsidRPr="001250FB">
        <w:rPr>
          <w:rFonts w:asciiTheme="majorHAnsi" w:hAnsiTheme="majorHAnsi" w:cs="Times New Roman"/>
          <w:b/>
        </w:rPr>
        <w:t>VENKATESHWARA INDUSTRIAL PROMOTION CO. LTD</w:t>
      </w:r>
      <w:r w:rsidRPr="005D004D">
        <w:rPr>
          <w:rFonts w:asciiTheme="majorHAnsi" w:hAnsiTheme="majorHAnsi" w:cs="Times New Roman"/>
        </w:rPr>
        <w:t xml:space="preserve">, as constituted from time to time. </w:t>
      </w:r>
    </w:p>
    <w:p w14:paraId="68CCA41D" w14:textId="77777777" w:rsidR="006B59EB" w:rsidRPr="005D004D" w:rsidRDefault="006B59EB" w:rsidP="006B59EB">
      <w:pPr>
        <w:spacing w:after="0" w:line="240" w:lineRule="auto"/>
        <w:jc w:val="both"/>
        <w:rPr>
          <w:rFonts w:asciiTheme="majorHAnsi" w:hAnsiTheme="majorHAnsi" w:cs="Times New Roman"/>
        </w:rPr>
      </w:pPr>
    </w:p>
    <w:p w14:paraId="0DC0DD15" w14:textId="77777777" w:rsidR="001B4A3C"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b/>
        </w:rPr>
        <w:t>“Company”</w:t>
      </w:r>
      <w:r w:rsidRPr="005D004D">
        <w:rPr>
          <w:rFonts w:asciiTheme="majorHAnsi" w:hAnsiTheme="majorHAnsi" w:cs="Times New Roman"/>
        </w:rPr>
        <w:t xml:space="preserve"> means a Company incorporated under the Companies Act, 2013 or under any other act prior to or after Companies Act, 2013. </w:t>
      </w:r>
    </w:p>
    <w:p w14:paraId="3AEE1B5D" w14:textId="77777777" w:rsidR="006B59EB" w:rsidRPr="005D004D" w:rsidRDefault="006B59EB" w:rsidP="006B59EB">
      <w:pPr>
        <w:spacing w:after="0" w:line="240" w:lineRule="auto"/>
        <w:jc w:val="both"/>
        <w:rPr>
          <w:rFonts w:asciiTheme="majorHAnsi" w:hAnsiTheme="majorHAnsi" w:cs="Times New Roman"/>
        </w:rPr>
      </w:pPr>
    </w:p>
    <w:p w14:paraId="5B9C831E" w14:textId="77777777" w:rsidR="001B4A3C" w:rsidRDefault="00C430EC" w:rsidP="006B59EB">
      <w:pPr>
        <w:spacing w:after="0" w:line="240" w:lineRule="auto"/>
        <w:jc w:val="both"/>
        <w:rPr>
          <w:rFonts w:asciiTheme="majorHAnsi" w:hAnsiTheme="majorHAnsi" w:cs="Times New Roman"/>
        </w:rPr>
      </w:pPr>
      <w:r w:rsidRPr="005D004D">
        <w:rPr>
          <w:rFonts w:asciiTheme="majorHAnsi" w:hAnsiTheme="majorHAnsi" w:cs="Times New Roman"/>
          <w:b/>
        </w:rPr>
        <w:t>“Independent Director”</w:t>
      </w:r>
      <w:r w:rsidRPr="005D004D">
        <w:rPr>
          <w:rFonts w:asciiTheme="majorHAnsi" w:hAnsiTheme="majorHAnsi" w:cs="Times New Roman"/>
        </w:rPr>
        <w:t xml:space="preserve"> means an independent director as defined in Sub section 47 of Section 2 of Companies Act 2013. </w:t>
      </w:r>
    </w:p>
    <w:p w14:paraId="4B632773" w14:textId="77777777" w:rsidR="001250FB" w:rsidRPr="005D004D" w:rsidRDefault="001250FB" w:rsidP="006B59EB">
      <w:pPr>
        <w:spacing w:after="0" w:line="240" w:lineRule="auto"/>
        <w:jc w:val="both"/>
        <w:rPr>
          <w:rFonts w:asciiTheme="majorHAnsi" w:hAnsiTheme="majorHAnsi" w:cs="Times New Roman"/>
        </w:rPr>
      </w:pPr>
    </w:p>
    <w:p w14:paraId="1E5F08EA" w14:textId="77777777" w:rsidR="001B4A3C"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b/>
        </w:rPr>
        <w:t>“Policy”</w:t>
      </w:r>
      <w:r w:rsidRPr="005D004D">
        <w:rPr>
          <w:rFonts w:asciiTheme="majorHAnsi" w:hAnsiTheme="majorHAnsi" w:cs="Times New Roman"/>
        </w:rPr>
        <w:t xml:space="preserve"> means Policy on Disclosure of Material Events / information. </w:t>
      </w:r>
    </w:p>
    <w:p w14:paraId="3EE5CBE1" w14:textId="77777777" w:rsidR="006B59EB" w:rsidRPr="005D004D" w:rsidRDefault="006B59EB" w:rsidP="006B59EB">
      <w:pPr>
        <w:spacing w:after="0" w:line="240" w:lineRule="auto"/>
        <w:jc w:val="both"/>
        <w:rPr>
          <w:rFonts w:asciiTheme="majorHAnsi" w:hAnsiTheme="majorHAnsi" w:cs="Times New Roman"/>
        </w:rPr>
      </w:pPr>
    </w:p>
    <w:p w14:paraId="10CB4C89" w14:textId="77777777" w:rsidR="001B4A3C"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b/>
        </w:rPr>
        <w:t>“Material Events”</w:t>
      </w:r>
      <w:r w:rsidRPr="005D004D">
        <w:rPr>
          <w:rFonts w:asciiTheme="majorHAnsi" w:hAnsiTheme="majorHAnsi" w:cs="Times New Roman"/>
        </w:rPr>
        <w:t xml:space="preserve"> are those that are specified in Para A of Part A of Schedule III of the LODR. </w:t>
      </w:r>
    </w:p>
    <w:p w14:paraId="6243D66B" w14:textId="77777777" w:rsidR="006B59EB" w:rsidRPr="005D004D" w:rsidRDefault="006B59EB" w:rsidP="006B59EB">
      <w:pPr>
        <w:spacing w:after="0" w:line="240" w:lineRule="auto"/>
        <w:jc w:val="both"/>
        <w:rPr>
          <w:rFonts w:asciiTheme="majorHAnsi" w:hAnsiTheme="majorHAnsi" w:cs="Times New Roman"/>
        </w:rPr>
      </w:pPr>
    </w:p>
    <w:p w14:paraId="5F85BEFB" w14:textId="77777777" w:rsidR="001B4A3C"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b/>
        </w:rPr>
        <w:t>“Other Events”</w:t>
      </w:r>
      <w:r w:rsidRPr="005D004D">
        <w:rPr>
          <w:rFonts w:asciiTheme="majorHAnsi" w:hAnsiTheme="majorHAnsi" w:cs="Times New Roman"/>
        </w:rPr>
        <w:t xml:space="preserve"> are those as may be decided by the Board from time to time and in accordance with Para B of Part A of Schedule III, as specified in sub-regulation (4) of LODR. </w:t>
      </w:r>
    </w:p>
    <w:p w14:paraId="28FC838B" w14:textId="77777777" w:rsidR="006B59EB" w:rsidRPr="005D004D" w:rsidRDefault="006B59EB" w:rsidP="006B59EB">
      <w:pPr>
        <w:spacing w:after="0" w:line="240" w:lineRule="auto"/>
        <w:jc w:val="both"/>
        <w:rPr>
          <w:rFonts w:asciiTheme="majorHAnsi" w:hAnsiTheme="majorHAnsi" w:cs="Times New Roman"/>
        </w:rPr>
      </w:pPr>
    </w:p>
    <w:p w14:paraId="7A4F3599" w14:textId="77777777" w:rsidR="001B4A3C"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b/>
        </w:rPr>
        <w:t>“LODR”</w:t>
      </w:r>
      <w:r w:rsidRPr="005D004D">
        <w:rPr>
          <w:rFonts w:asciiTheme="majorHAnsi" w:hAnsiTheme="majorHAnsi" w:cs="Times New Roman"/>
        </w:rPr>
        <w:t xml:space="preserve"> means the Securities and Exchange Board of India (Listing Obligations and Disclosure Requirements) Regulations, 2015, as amended </w:t>
      </w:r>
    </w:p>
    <w:p w14:paraId="4BC82112" w14:textId="77777777" w:rsidR="006B59EB" w:rsidRPr="005D004D" w:rsidRDefault="006B59EB" w:rsidP="006B59EB">
      <w:pPr>
        <w:spacing w:after="0" w:line="240" w:lineRule="auto"/>
        <w:jc w:val="both"/>
        <w:rPr>
          <w:rFonts w:asciiTheme="majorHAnsi" w:hAnsiTheme="majorHAnsi" w:cs="Times New Roman"/>
        </w:rPr>
      </w:pPr>
    </w:p>
    <w:p w14:paraId="57A99E5B" w14:textId="77777777" w:rsidR="001B4A3C"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b/>
        </w:rPr>
        <w:t>“Key Managerial Personnel”</w:t>
      </w:r>
      <w:r w:rsidRPr="005D004D">
        <w:rPr>
          <w:rFonts w:asciiTheme="majorHAnsi" w:hAnsiTheme="majorHAnsi" w:cs="Times New Roman"/>
        </w:rPr>
        <w:t xml:space="preserve"> (KMP) of the Company means an</w:t>
      </w:r>
      <w:r w:rsidR="001537C9">
        <w:rPr>
          <w:rFonts w:asciiTheme="majorHAnsi" w:hAnsiTheme="majorHAnsi" w:cs="Times New Roman"/>
        </w:rPr>
        <w:t>y</w:t>
      </w:r>
      <w:r w:rsidRPr="005D004D">
        <w:rPr>
          <w:rFonts w:asciiTheme="majorHAnsi" w:hAnsiTheme="majorHAnsi" w:cs="Times New Roman"/>
        </w:rPr>
        <w:t xml:space="preserve"> key managerial personnel as defined in Sub section 51 of Section 2 of Companies Act 2013. </w:t>
      </w:r>
    </w:p>
    <w:p w14:paraId="212CFBB3" w14:textId="77777777" w:rsidR="006B59EB" w:rsidRPr="005D004D" w:rsidRDefault="006B59EB" w:rsidP="006B59EB">
      <w:pPr>
        <w:spacing w:after="0" w:line="240" w:lineRule="auto"/>
        <w:jc w:val="both"/>
        <w:rPr>
          <w:rFonts w:asciiTheme="majorHAnsi" w:hAnsiTheme="majorHAnsi" w:cs="Times New Roman"/>
        </w:rPr>
      </w:pPr>
    </w:p>
    <w:p w14:paraId="55C0D86B" w14:textId="77777777" w:rsidR="001B4A3C" w:rsidRPr="005D004D" w:rsidRDefault="00C54D24" w:rsidP="00087DB5">
      <w:pPr>
        <w:pStyle w:val="ListParagraph"/>
        <w:numPr>
          <w:ilvl w:val="0"/>
          <w:numId w:val="1"/>
        </w:numPr>
        <w:spacing w:after="0" w:line="240" w:lineRule="auto"/>
        <w:jc w:val="both"/>
        <w:rPr>
          <w:rFonts w:asciiTheme="majorHAnsi" w:hAnsiTheme="majorHAnsi" w:cs="Times New Roman"/>
          <w:b/>
          <w:u w:val="single"/>
        </w:rPr>
      </w:pPr>
      <w:r w:rsidRPr="005D004D">
        <w:rPr>
          <w:rFonts w:asciiTheme="majorHAnsi" w:hAnsiTheme="majorHAnsi" w:cs="Times New Roman"/>
          <w:b/>
          <w:u w:val="single"/>
        </w:rPr>
        <w:t xml:space="preserve">POLICY </w:t>
      </w:r>
    </w:p>
    <w:p w14:paraId="623B6B44" w14:textId="77777777" w:rsidR="00087DB5" w:rsidRPr="005D004D" w:rsidRDefault="00087DB5" w:rsidP="00087DB5">
      <w:pPr>
        <w:pStyle w:val="ListParagraph"/>
        <w:spacing w:after="0" w:line="240" w:lineRule="auto"/>
        <w:jc w:val="both"/>
        <w:rPr>
          <w:rFonts w:asciiTheme="majorHAnsi" w:hAnsiTheme="majorHAnsi" w:cs="Times New Roman"/>
          <w:b/>
        </w:rPr>
      </w:pPr>
    </w:p>
    <w:p w14:paraId="1C8F0D36" w14:textId="77777777" w:rsidR="001B4A3C"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rPr>
        <w:t xml:space="preserve">Either based on the recommendation of the Audit Committee or Directors on </w:t>
      </w:r>
      <w:proofErr w:type="spellStart"/>
      <w:r w:rsidRPr="005D004D">
        <w:rPr>
          <w:rFonts w:asciiTheme="majorHAnsi" w:hAnsiTheme="majorHAnsi" w:cs="Times New Roman"/>
        </w:rPr>
        <w:t>suo</w:t>
      </w:r>
      <w:proofErr w:type="spellEnd"/>
      <w:r w:rsidRPr="005D004D">
        <w:rPr>
          <w:rFonts w:asciiTheme="majorHAnsi" w:hAnsiTheme="majorHAnsi" w:cs="Times New Roman"/>
        </w:rPr>
        <w:t>-moto, the Board of Directors of the Company shall determine the events which are classified under differen</w:t>
      </w:r>
      <w:r w:rsidR="001537C9">
        <w:rPr>
          <w:rFonts w:asciiTheme="majorHAnsi" w:hAnsiTheme="majorHAnsi" w:cs="Times New Roman"/>
        </w:rPr>
        <w:t>t categories to be material and/</w:t>
      </w:r>
      <w:r w:rsidRPr="005D004D">
        <w:rPr>
          <w:rFonts w:asciiTheme="majorHAnsi" w:hAnsiTheme="majorHAnsi" w:cs="Times New Roman"/>
        </w:rPr>
        <w:t xml:space="preserve">or other events having a bearing on the performance of the Company and on the share price of the Company, which needs to be disclosed to the stock exchanges as per the time span specified against each category. </w:t>
      </w:r>
    </w:p>
    <w:p w14:paraId="36FA8D9C" w14:textId="77777777" w:rsidR="006B59EB" w:rsidRPr="005D004D" w:rsidRDefault="006B59EB" w:rsidP="006B59EB">
      <w:pPr>
        <w:spacing w:after="0" w:line="240" w:lineRule="auto"/>
        <w:jc w:val="both"/>
        <w:rPr>
          <w:rFonts w:asciiTheme="majorHAnsi" w:hAnsiTheme="majorHAnsi" w:cs="Times New Roman"/>
        </w:rPr>
      </w:pPr>
    </w:p>
    <w:p w14:paraId="45176DF7" w14:textId="77777777" w:rsidR="001B4A3C" w:rsidRPr="005D004D" w:rsidRDefault="00C430EC" w:rsidP="0000406F">
      <w:pPr>
        <w:spacing w:after="0" w:line="240" w:lineRule="auto"/>
        <w:rPr>
          <w:rFonts w:asciiTheme="majorHAnsi" w:hAnsiTheme="majorHAnsi" w:cs="Times New Roman"/>
          <w:b/>
        </w:rPr>
      </w:pPr>
      <w:r w:rsidRPr="005D004D">
        <w:rPr>
          <w:rFonts w:asciiTheme="majorHAnsi" w:hAnsiTheme="majorHAnsi" w:cs="Times New Roman"/>
          <w:b/>
        </w:rPr>
        <w:t>CATEGORY A</w:t>
      </w:r>
    </w:p>
    <w:p w14:paraId="2EE283D5" w14:textId="77777777" w:rsidR="00087DB5" w:rsidRPr="005D004D" w:rsidRDefault="00087DB5" w:rsidP="006B59EB">
      <w:pPr>
        <w:spacing w:after="0" w:line="240" w:lineRule="auto"/>
        <w:jc w:val="both"/>
        <w:rPr>
          <w:rFonts w:asciiTheme="majorHAnsi" w:hAnsiTheme="majorHAnsi" w:cs="Times New Roman"/>
          <w:b/>
        </w:rPr>
      </w:pPr>
    </w:p>
    <w:p w14:paraId="42E859D2" w14:textId="77777777" w:rsidR="00025AE4"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rPr>
        <w:t>Events considered Material in view of the Board of Directors which needs to be disclosed to the stock exchanges within 24 hours of the decision taken at the Board Meeting are:</w:t>
      </w:r>
    </w:p>
    <w:p w14:paraId="66CAA627" w14:textId="77777777" w:rsidR="006B59EB" w:rsidRPr="005D004D" w:rsidRDefault="006B59EB" w:rsidP="006B59EB">
      <w:pPr>
        <w:spacing w:after="0" w:line="240" w:lineRule="auto"/>
        <w:jc w:val="both"/>
        <w:rPr>
          <w:rFonts w:asciiTheme="majorHAnsi" w:hAnsiTheme="majorHAnsi" w:cs="Times New Roman"/>
        </w:rPr>
      </w:pPr>
    </w:p>
    <w:p w14:paraId="07551058" w14:textId="77777777" w:rsidR="003428A2" w:rsidRPr="005D004D" w:rsidRDefault="00C430EC" w:rsidP="00BE3799">
      <w:pPr>
        <w:pStyle w:val="ListParagraph"/>
        <w:numPr>
          <w:ilvl w:val="0"/>
          <w:numId w:val="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Acquisition(s) (including agreement to acquire), Scheme of Arrangement (amalgamation/ merger/ demerger/restructuring), or sale or disposal of any unit(s), division(s) or subsidiary of the listed entity or any other restructuring. </w:t>
      </w:r>
    </w:p>
    <w:p w14:paraId="6560C234" w14:textId="77777777" w:rsidR="00D95BA4" w:rsidRPr="005D004D" w:rsidRDefault="00D95BA4" w:rsidP="00D95BA4">
      <w:pPr>
        <w:pStyle w:val="ListParagraph"/>
        <w:spacing w:after="0" w:line="240" w:lineRule="auto"/>
        <w:ind w:left="360"/>
        <w:jc w:val="both"/>
        <w:rPr>
          <w:rFonts w:asciiTheme="majorHAnsi" w:hAnsiTheme="majorHAnsi" w:cs="Times New Roman"/>
        </w:rPr>
      </w:pPr>
    </w:p>
    <w:p w14:paraId="4C07349C" w14:textId="77777777" w:rsidR="001547E8" w:rsidRPr="005D004D" w:rsidRDefault="00C430EC" w:rsidP="003428A2">
      <w:pPr>
        <w:pStyle w:val="ListParagraph"/>
        <w:spacing w:after="0" w:line="240" w:lineRule="auto"/>
        <w:ind w:left="360"/>
        <w:jc w:val="both"/>
        <w:rPr>
          <w:rFonts w:asciiTheme="majorHAnsi" w:hAnsiTheme="majorHAnsi" w:cs="Times New Roman"/>
        </w:rPr>
      </w:pPr>
      <w:r w:rsidRPr="005D004D">
        <w:rPr>
          <w:rFonts w:asciiTheme="majorHAnsi" w:hAnsiTheme="majorHAnsi" w:cs="Times New Roman"/>
        </w:rPr>
        <w:t xml:space="preserve">Explanation - For the purpose of this sub-para, the word 'acquisition' shall mean,-  </w:t>
      </w:r>
    </w:p>
    <w:p w14:paraId="4B7A17D8" w14:textId="77777777" w:rsidR="000D4FE9" w:rsidRPr="005D004D" w:rsidRDefault="000D4FE9" w:rsidP="000D4FE9">
      <w:pPr>
        <w:pStyle w:val="ListParagraph"/>
        <w:spacing w:after="0" w:line="240" w:lineRule="auto"/>
        <w:jc w:val="both"/>
        <w:rPr>
          <w:rFonts w:asciiTheme="majorHAnsi" w:hAnsiTheme="majorHAnsi" w:cs="Times New Roman"/>
        </w:rPr>
      </w:pPr>
    </w:p>
    <w:p w14:paraId="25F184C6" w14:textId="77777777" w:rsidR="001547E8" w:rsidRPr="005D004D" w:rsidRDefault="00C430EC" w:rsidP="00D95BA4">
      <w:pPr>
        <w:pStyle w:val="ListParagraph"/>
        <w:numPr>
          <w:ilvl w:val="0"/>
          <w:numId w:val="6"/>
        </w:numPr>
        <w:spacing w:after="0" w:line="240" w:lineRule="auto"/>
        <w:ind w:left="900" w:hanging="540"/>
        <w:jc w:val="both"/>
        <w:rPr>
          <w:rFonts w:asciiTheme="majorHAnsi" w:hAnsiTheme="majorHAnsi" w:cs="Times New Roman"/>
        </w:rPr>
      </w:pPr>
      <w:r w:rsidRPr="005D004D">
        <w:rPr>
          <w:rFonts w:asciiTheme="majorHAnsi" w:hAnsiTheme="majorHAnsi" w:cs="Times New Roman"/>
        </w:rPr>
        <w:t xml:space="preserve">Acquiring control, whether directly or indirectly; or,  </w:t>
      </w:r>
    </w:p>
    <w:p w14:paraId="3D7F6876" w14:textId="77777777" w:rsidR="001547E8" w:rsidRPr="005D004D" w:rsidRDefault="00C430EC" w:rsidP="00D95BA4">
      <w:pPr>
        <w:pStyle w:val="ListParagraph"/>
        <w:numPr>
          <w:ilvl w:val="0"/>
          <w:numId w:val="6"/>
        </w:numPr>
        <w:spacing w:after="0" w:line="240" w:lineRule="auto"/>
        <w:ind w:left="900" w:hanging="540"/>
        <w:jc w:val="both"/>
        <w:rPr>
          <w:rFonts w:asciiTheme="majorHAnsi" w:hAnsiTheme="majorHAnsi" w:cs="Times New Roman"/>
        </w:rPr>
      </w:pPr>
      <w:r w:rsidRPr="005D004D">
        <w:rPr>
          <w:rFonts w:asciiTheme="majorHAnsi" w:hAnsiTheme="majorHAnsi" w:cs="Times New Roman"/>
        </w:rPr>
        <w:t xml:space="preserve">Acquiring or agreeing to acquire shares or voting rights in, a company, whether directly or indirectly, such that -  </w:t>
      </w:r>
    </w:p>
    <w:p w14:paraId="5BD74A1C" w14:textId="77777777" w:rsidR="001547E8" w:rsidRPr="005D004D" w:rsidRDefault="00C430EC" w:rsidP="002E0981">
      <w:pPr>
        <w:pStyle w:val="ListParagraph"/>
        <w:numPr>
          <w:ilvl w:val="1"/>
          <w:numId w:val="6"/>
        </w:numPr>
        <w:spacing w:after="0" w:line="240" w:lineRule="auto"/>
        <w:ind w:left="1260"/>
        <w:jc w:val="both"/>
        <w:rPr>
          <w:rFonts w:asciiTheme="majorHAnsi" w:hAnsiTheme="majorHAnsi" w:cs="Times New Roman"/>
        </w:rPr>
      </w:pPr>
      <w:r w:rsidRPr="005D004D">
        <w:rPr>
          <w:rFonts w:asciiTheme="majorHAnsi" w:hAnsiTheme="majorHAnsi" w:cs="Times New Roman"/>
        </w:rPr>
        <w:t xml:space="preserve">The listed entity holds shares or voting rights aggregating to five per cent or more of the shares or voting rights in the said company, or;  </w:t>
      </w:r>
    </w:p>
    <w:p w14:paraId="6D430CCE" w14:textId="77777777" w:rsidR="001547E8" w:rsidRPr="005D004D" w:rsidRDefault="00C430EC" w:rsidP="002E0981">
      <w:pPr>
        <w:pStyle w:val="ListParagraph"/>
        <w:numPr>
          <w:ilvl w:val="1"/>
          <w:numId w:val="6"/>
        </w:numPr>
        <w:spacing w:after="0" w:line="240" w:lineRule="auto"/>
        <w:ind w:left="1260"/>
        <w:jc w:val="both"/>
        <w:rPr>
          <w:rFonts w:asciiTheme="majorHAnsi" w:hAnsiTheme="majorHAnsi" w:cs="Times New Roman"/>
        </w:rPr>
      </w:pPr>
      <w:r w:rsidRPr="005D004D">
        <w:rPr>
          <w:rFonts w:asciiTheme="majorHAnsi" w:hAnsiTheme="majorHAnsi" w:cs="Times New Roman"/>
        </w:rPr>
        <w:t xml:space="preserve">There has been a change in holding from the last disclosure made under sub-clause (a) of clause (ii) of the Explanation to this sub-para and such change exceeds two per cent of the total shareholding or voting rights in the said company.  </w:t>
      </w:r>
    </w:p>
    <w:p w14:paraId="404F259C" w14:textId="77777777" w:rsidR="001547E8" w:rsidRPr="005D004D" w:rsidRDefault="001547E8" w:rsidP="002E0981">
      <w:pPr>
        <w:pStyle w:val="ListParagraph"/>
        <w:spacing w:after="0" w:line="240" w:lineRule="auto"/>
        <w:ind w:left="180"/>
        <w:jc w:val="both"/>
        <w:rPr>
          <w:rFonts w:asciiTheme="majorHAnsi" w:hAnsiTheme="majorHAnsi" w:cs="Times New Roman"/>
        </w:rPr>
      </w:pPr>
    </w:p>
    <w:p w14:paraId="3762A55E" w14:textId="77777777" w:rsidR="001547E8" w:rsidRPr="005D004D" w:rsidRDefault="00C430EC" w:rsidP="00BE3799">
      <w:pPr>
        <w:pStyle w:val="ListParagraph"/>
        <w:numPr>
          <w:ilvl w:val="0"/>
          <w:numId w:val="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Issuance or forfeiture of securities, split or consolidation of shares, buyback of securities, any restriction on transferability of securities  or  alteration in  terms or structure of existing securities including forfeiture,  reissue of forfeited securities, alteration of calls, redemption of securities etc.  </w:t>
      </w:r>
    </w:p>
    <w:p w14:paraId="5E6EDCDD" w14:textId="77777777" w:rsidR="008A034C" w:rsidRPr="005D004D" w:rsidRDefault="008A034C" w:rsidP="008A034C">
      <w:pPr>
        <w:spacing w:after="0" w:line="240" w:lineRule="auto"/>
        <w:jc w:val="both"/>
        <w:rPr>
          <w:rFonts w:asciiTheme="majorHAnsi" w:hAnsiTheme="majorHAnsi" w:cs="Times New Roman"/>
        </w:rPr>
      </w:pPr>
    </w:p>
    <w:p w14:paraId="5E1C02B2" w14:textId="77777777" w:rsidR="001547E8" w:rsidRPr="005D004D" w:rsidRDefault="00C430EC" w:rsidP="00BE3799">
      <w:pPr>
        <w:pStyle w:val="ListParagraph"/>
        <w:numPr>
          <w:ilvl w:val="0"/>
          <w:numId w:val="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Revision in Rating(s). </w:t>
      </w:r>
    </w:p>
    <w:p w14:paraId="73A03C87" w14:textId="77777777" w:rsidR="008A034C" w:rsidRPr="005D004D" w:rsidRDefault="008A034C" w:rsidP="00BE3799">
      <w:pPr>
        <w:pStyle w:val="ListParagraph"/>
        <w:spacing w:after="0" w:line="240" w:lineRule="auto"/>
        <w:ind w:left="360"/>
        <w:jc w:val="both"/>
        <w:rPr>
          <w:rFonts w:asciiTheme="majorHAnsi" w:hAnsiTheme="majorHAnsi" w:cs="Times New Roman"/>
        </w:rPr>
      </w:pPr>
    </w:p>
    <w:p w14:paraId="653F0D63" w14:textId="77777777" w:rsidR="00BF2418" w:rsidRPr="005D004D" w:rsidRDefault="00C430EC" w:rsidP="00BE3799">
      <w:pPr>
        <w:pStyle w:val="ListParagraph"/>
        <w:numPr>
          <w:ilvl w:val="0"/>
          <w:numId w:val="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Outcome of Meetings of the board of directors: The listed entity shall disclose to the Exchange(s), within 30 minutes of the closure of the meeting, held to consider the following:  </w:t>
      </w:r>
    </w:p>
    <w:p w14:paraId="3EF18307" w14:textId="77777777" w:rsidR="00BF2418" w:rsidRPr="005D004D" w:rsidRDefault="00BF2418" w:rsidP="00486202">
      <w:pPr>
        <w:pStyle w:val="ListParagraph"/>
        <w:spacing w:after="0" w:line="240" w:lineRule="auto"/>
        <w:ind w:left="1260"/>
        <w:jc w:val="both"/>
        <w:rPr>
          <w:rFonts w:asciiTheme="majorHAnsi" w:hAnsiTheme="majorHAnsi" w:cs="Times New Roman"/>
        </w:rPr>
      </w:pPr>
    </w:p>
    <w:p w14:paraId="523C8B3E" w14:textId="77777777" w:rsidR="001547E8" w:rsidRPr="005D004D" w:rsidRDefault="00C430EC" w:rsidP="00486202">
      <w:pPr>
        <w:pStyle w:val="ListParagraph"/>
        <w:numPr>
          <w:ilvl w:val="0"/>
          <w:numId w:val="16"/>
        </w:numPr>
        <w:spacing w:after="0" w:line="240" w:lineRule="auto"/>
        <w:ind w:left="1260" w:hanging="540"/>
        <w:jc w:val="both"/>
        <w:rPr>
          <w:rFonts w:asciiTheme="majorHAnsi" w:hAnsiTheme="majorHAnsi" w:cs="Times New Roman"/>
        </w:rPr>
      </w:pPr>
      <w:r w:rsidRPr="005D004D">
        <w:rPr>
          <w:rFonts w:asciiTheme="majorHAnsi" w:hAnsiTheme="majorHAnsi" w:cs="Times New Roman"/>
        </w:rPr>
        <w:lastRenderedPageBreak/>
        <w:t xml:space="preserve">dividends and/or cash bonuses recommended or declared or the decision to pass any dividend and the date on which dividend shall be paid/dispatched;  </w:t>
      </w:r>
    </w:p>
    <w:p w14:paraId="77B6B258" w14:textId="77777777" w:rsidR="001547E8" w:rsidRPr="005D004D" w:rsidRDefault="00C430EC" w:rsidP="00486202">
      <w:pPr>
        <w:pStyle w:val="ListParagraph"/>
        <w:numPr>
          <w:ilvl w:val="0"/>
          <w:numId w:val="16"/>
        </w:numPr>
        <w:spacing w:after="0" w:line="240" w:lineRule="auto"/>
        <w:ind w:left="1260" w:hanging="540"/>
        <w:jc w:val="both"/>
        <w:rPr>
          <w:rFonts w:asciiTheme="majorHAnsi" w:hAnsiTheme="majorHAnsi" w:cs="Times New Roman"/>
        </w:rPr>
      </w:pPr>
      <w:r w:rsidRPr="005D004D">
        <w:rPr>
          <w:rFonts w:asciiTheme="majorHAnsi" w:hAnsiTheme="majorHAnsi" w:cs="Times New Roman"/>
        </w:rPr>
        <w:t xml:space="preserve">any cancellation of dividend with reasons thereof; </w:t>
      </w:r>
    </w:p>
    <w:p w14:paraId="36E4DE98" w14:textId="77777777" w:rsidR="001547E8" w:rsidRPr="005D004D" w:rsidRDefault="00C430EC" w:rsidP="00486202">
      <w:pPr>
        <w:pStyle w:val="ListParagraph"/>
        <w:numPr>
          <w:ilvl w:val="0"/>
          <w:numId w:val="16"/>
        </w:numPr>
        <w:spacing w:after="0" w:line="240" w:lineRule="auto"/>
        <w:ind w:left="1260" w:hanging="540"/>
        <w:jc w:val="both"/>
        <w:rPr>
          <w:rFonts w:asciiTheme="majorHAnsi" w:hAnsiTheme="majorHAnsi" w:cs="Times New Roman"/>
        </w:rPr>
      </w:pPr>
      <w:r w:rsidRPr="005D004D">
        <w:rPr>
          <w:rFonts w:asciiTheme="majorHAnsi" w:hAnsiTheme="majorHAnsi" w:cs="Times New Roman"/>
        </w:rPr>
        <w:t xml:space="preserve">the decision on buyback of securities; </w:t>
      </w:r>
    </w:p>
    <w:p w14:paraId="053C342E" w14:textId="77777777" w:rsidR="001547E8" w:rsidRPr="005D004D" w:rsidRDefault="00C430EC" w:rsidP="00486202">
      <w:pPr>
        <w:pStyle w:val="ListParagraph"/>
        <w:numPr>
          <w:ilvl w:val="0"/>
          <w:numId w:val="16"/>
        </w:numPr>
        <w:spacing w:after="0" w:line="240" w:lineRule="auto"/>
        <w:ind w:left="1260" w:hanging="540"/>
        <w:jc w:val="both"/>
        <w:rPr>
          <w:rFonts w:asciiTheme="majorHAnsi" w:hAnsiTheme="majorHAnsi" w:cs="Times New Roman"/>
        </w:rPr>
      </w:pPr>
      <w:r w:rsidRPr="005D004D">
        <w:rPr>
          <w:rFonts w:asciiTheme="majorHAnsi" w:hAnsiTheme="majorHAnsi" w:cs="Times New Roman"/>
        </w:rPr>
        <w:t xml:space="preserve">the decision with respect to fund raising proposed to be undertaken  </w:t>
      </w:r>
    </w:p>
    <w:p w14:paraId="71AA7CB5" w14:textId="77777777" w:rsidR="001547E8" w:rsidRPr="005D004D" w:rsidRDefault="00C430EC" w:rsidP="00486202">
      <w:pPr>
        <w:pStyle w:val="ListParagraph"/>
        <w:numPr>
          <w:ilvl w:val="0"/>
          <w:numId w:val="16"/>
        </w:numPr>
        <w:spacing w:after="0" w:line="240" w:lineRule="auto"/>
        <w:ind w:left="1260" w:hanging="540"/>
        <w:jc w:val="both"/>
        <w:rPr>
          <w:rFonts w:asciiTheme="majorHAnsi" w:hAnsiTheme="majorHAnsi" w:cs="Times New Roman"/>
        </w:rPr>
      </w:pPr>
      <w:r w:rsidRPr="005D004D">
        <w:rPr>
          <w:rFonts w:asciiTheme="majorHAnsi" w:hAnsiTheme="majorHAnsi" w:cs="Times New Roman"/>
        </w:rPr>
        <w:t xml:space="preserve">increase in capital by issue of bonus shares through capitalization including the date on which such bonus shares shall be credited/dispatched; </w:t>
      </w:r>
    </w:p>
    <w:p w14:paraId="347F2E35" w14:textId="77777777" w:rsidR="001547E8" w:rsidRPr="005D004D" w:rsidRDefault="00C430EC" w:rsidP="00486202">
      <w:pPr>
        <w:pStyle w:val="ListParagraph"/>
        <w:numPr>
          <w:ilvl w:val="0"/>
          <w:numId w:val="16"/>
        </w:numPr>
        <w:spacing w:after="0" w:line="240" w:lineRule="auto"/>
        <w:ind w:left="1260" w:hanging="540"/>
        <w:jc w:val="both"/>
        <w:rPr>
          <w:rFonts w:asciiTheme="majorHAnsi" w:hAnsiTheme="majorHAnsi" w:cs="Times New Roman"/>
        </w:rPr>
      </w:pPr>
      <w:r w:rsidRPr="005D004D">
        <w:rPr>
          <w:rFonts w:asciiTheme="majorHAnsi" w:hAnsiTheme="majorHAnsi" w:cs="Times New Roman"/>
        </w:rPr>
        <w:t xml:space="preserve">reissue of forfeited shares  or securities, or the issue of shares or securities held in reserve for future issue or the creation in any form or manner of new shares or securities or any other rights, privileges or benefits to subscribe to; </w:t>
      </w:r>
    </w:p>
    <w:p w14:paraId="0E1C63E0" w14:textId="77777777" w:rsidR="001547E8" w:rsidRPr="005D004D" w:rsidRDefault="00C430EC" w:rsidP="00486202">
      <w:pPr>
        <w:pStyle w:val="ListParagraph"/>
        <w:numPr>
          <w:ilvl w:val="0"/>
          <w:numId w:val="16"/>
        </w:numPr>
        <w:spacing w:after="0" w:line="240" w:lineRule="auto"/>
        <w:ind w:left="1260" w:hanging="540"/>
        <w:jc w:val="both"/>
        <w:rPr>
          <w:rFonts w:asciiTheme="majorHAnsi" w:hAnsiTheme="majorHAnsi" w:cs="Times New Roman"/>
        </w:rPr>
      </w:pPr>
      <w:r w:rsidRPr="005D004D">
        <w:rPr>
          <w:rFonts w:asciiTheme="majorHAnsi" w:hAnsiTheme="majorHAnsi" w:cs="Times New Roman"/>
        </w:rPr>
        <w:t xml:space="preserve">short particulars of any other alterations of capital, including calls; </w:t>
      </w:r>
    </w:p>
    <w:p w14:paraId="723039D3" w14:textId="77777777" w:rsidR="001547E8" w:rsidRPr="005D004D" w:rsidRDefault="00C430EC" w:rsidP="00486202">
      <w:pPr>
        <w:pStyle w:val="ListParagraph"/>
        <w:numPr>
          <w:ilvl w:val="0"/>
          <w:numId w:val="16"/>
        </w:numPr>
        <w:spacing w:after="0" w:line="240" w:lineRule="auto"/>
        <w:ind w:left="1260" w:hanging="540"/>
        <w:jc w:val="both"/>
        <w:rPr>
          <w:rFonts w:asciiTheme="majorHAnsi" w:hAnsiTheme="majorHAnsi" w:cs="Times New Roman"/>
        </w:rPr>
      </w:pPr>
      <w:r w:rsidRPr="005D004D">
        <w:rPr>
          <w:rFonts w:asciiTheme="majorHAnsi" w:hAnsiTheme="majorHAnsi" w:cs="Times New Roman"/>
        </w:rPr>
        <w:t xml:space="preserve">financial results; </w:t>
      </w:r>
    </w:p>
    <w:p w14:paraId="3F274F5C" w14:textId="77777777" w:rsidR="001547E8" w:rsidRPr="005D004D" w:rsidRDefault="00C430EC" w:rsidP="00486202">
      <w:pPr>
        <w:pStyle w:val="ListParagraph"/>
        <w:numPr>
          <w:ilvl w:val="0"/>
          <w:numId w:val="16"/>
        </w:numPr>
        <w:spacing w:after="0" w:line="240" w:lineRule="auto"/>
        <w:ind w:left="1260" w:hanging="540"/>
        <w:jc w:val="both"/>
        <w:rPr>
          <w:rFonts w:asciiTheme="majorHAnsi" w:hAnsiTheme="majorHAnsi" w:cs="Times New Roman"/>
        </w:rPr>
      </w:pPr>
      <w:r w:rsidRPr="005D004D">
        <w:rPr>
          <w:rFonts w:asciiTheme="majorHAnsi" w:hAnsiTheme="majorHAnsi" w:cs="Times New Roman"/>
        </w:rPr>
        <w:t xml:space="preserve">Decision on voluntary delisting by the listed entity from stock exchange(s). </w:t>
      </w:r>
    </w:p>
    <w:p w14:paraId="621C5210" w14:textId="77777777" w:rsidR="00BF2418" w:rsidRPr="005D004D" w:rsidRDefault="00BF2418" w:rsidP="006B59EB">
      <w:pPr>
        <w:pStyle w:val="ListParagraph"/>
        <w:spacing w:after="0" w:line="240" w:lineRule="auto"/>
        <w:jc w:val="both"/>
        <w:rPr>
          <w:rFonts w:asciiTheme="majorHAnsi" w:hAnsiTheme="majorHAnsi" w:cs="Times New Roman"/>
        </w:rPr>
      </w:pPr>
    </w:p>
    <w:p w14:paraId="73852140" w14:textId="77777777" w:rsidR="00BF2418" w:rsidRPr="005D004D" w:rsidRDefault="00C430EC" w:rsidP="00BE3799">
      <w:pPr>
        <w:pStyle w:val="ListParagraph"/>
        <w:numPr>
          <w:ilvl w:val="0"/>
          <w:numId w:val="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Agreements (viz. shareholder agreement(s), joint venture agreement(s), family settlement agreement(s) (to the extent that it impacts management and control of the listed entity), agreement(s)/treaty (ies)/contract(s) with media companies) which are binding and not in normal course of business, revision(s) or amendment(s) and termination(s) thereof. </w:t>
      </w:r>
    </w:p>
    <w:p w14:paraId="5559949A" w14:textId="77777777" w:rsidR="008A034C" w:rsidRPr="005D004D" w:rsidRDefault="008A034C" w:rsidP="00BE3799">
      <w:pPr>
        <w:pStyle w:val="ListParagraph"/>
        <w:spacing w:after="0" w:line="240" w:lineRule="auto"/>
        <w:ind w:left="360"/>
        <w:jc w:val="both"/>
        <w:rPr>
          <w:rFonts w:asciiTheme="majorHAnsi" w:hAnsiTheme="majorHAnsi" w:cs="Times New Roman"/>
        </w:rPr>
      </w:pPr>
    </w:p>
    <w:p w14:paraId="68A6B7A0" w14:textId="77777777" w:rsidR="00BF2418" w:rsidRPr="005D004D" w:rsidRDefault="00C430EC" w:rsidP="00BE3799">
      <w:pPr>
        <w:pStyle w:val="ListParagraph"/>
        <w:numPr>
          <w:ilvl w:val="0"/>
          <w:numId w:val="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Fraud/defaults by promoter or key managerial personnel or by listed entity or arrest of key managerial personnel or promoter. </w:t>
      </w:r>
    </w:p>
    <w:p w14:paraId="5EDF739A" w14:textId="77777777" w:rsidR="008A034C" w:rsidRPr="005D004D" w:rsidRDefault="008A034C" w:rsidP="00BE3799">
      <w:pPr>
        <w:pStyle w:val="ListParagraph"/>
        <w:spacing w:after="0" w:line="240" w:lineRule="auto"/>
        <w:ind w:left="360"/>
        <w:jc w:val="both"/>
        <w:rPr>
          <w:rFonts w:asciiTheme="majorHAnsi" w:hAnsiTheme="majorHAnsi" w:cs="Times New Roman"/>
        </w:rPr>
      </w:pPr>
    </w:p>
    <w:p w14:paraId="3D62CC2A" w14:textId="77777777" w:rsidR="00BF2418" w:rsidRPr="005D004D" w:rsidRDefault="00C430EC" w:rsidP="00BE3799">
      <w:pPr>
        <w:pStyle w:val="ListParagraph"/>
        <w:numPr>
          <w:ilvl w:val="0"/>
          <w:numId w:val="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Change in directors, key managerial personnel (Managing Director, Chief Executive Officer, Chief Financial Officer, Company Secretary etc.), Auditor and Compliance Officer. </w:t>
      </w:r>
    </w:p>
    <w:p w14:paraId="123F2C58" w14:textId="77777777" w:rsidR="008A034C" w:rsidRPr="005D004D" w:rsidRDefault="008A034C" w:rsidP="00BE3799">
      <w:pPr>
        <w:pStyle w:val="ListParagraph"/>
        <w:spacing w:after="0" w:line="240" w:lineRule="auto"/>
        <w:ind w:left="360"/>
        <w:jc w:val="both"/>
        <w:rPr>
          <w:rFonts w:asciiTheme="majorHAnsi" w:hAnsiTheme="majorHAnsi" w:cs="Times New Roman"/>
        </w:rPr>
      </w:pPr>
    </w:p>
    <w:p w14:paraId="1C94F194" w14:textId="77777777" w:rsidR="00BF2418" w:rsidRPr="005D004D" w:rsidRDefault="00C430EC" w:rsidP="00BE3799">
      <w:pPr>
        <w:pStyle w:val="ListParagraph"/>
        <w:numPr>
          <w:ilvl w:val="0"/>
          <w:numId w:val="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Appointment or discontinuation of share transfer agent. </w:t>
      </w:r>
    </w:p>
    <w:p w14:paraId="19048ACB" w14:textId="77777777" w:rsidR="008A034C" w:rsidRPr="005D004D" w:rsidRDefault="008A034C" w:rsidP="00BE3799">
      <w:pPr>
        <w:pStyle w:val="ListParagraph"/>
        <w:spacing w:after="0" w:line="240" w:lineRule="auto"/>
        <w:ind w:left="360"/>
        <w:jc w:val="both"/>
        <w:rPr>
          <w:rFonts w:asciiTheme="majorHAnsi" w:hAnsiTheme="majorHAnsi" w:cs="Times New Roman"/>
        </w:rPr>
      </w:pPr>
    </w:p>
    <w:p w14:paraId="5E4D40EC" w14:textId="77777777" w:rsidR="00BF2418" w:rsidRPr="005D004D" w:rsidRDefault="00C430EC" w:rsidP="00BE3799">
      <w:pPr>
        <w:pStyle w:val="ListParagraph"/>
        <w:numPr>
          <w:ilvl w:val="0"/>
          <w:numId w:val="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Corporate debt restructuring.  </w:t>
      </w:r>
    </w:p>
    <w:p w14:paraId="54C079E5" w14:textId="77777777" w:rsidR="008A034C" w:rsidRPr="005D004D" w:rsidRDefault="008A034C" w:rsidP="00BE3799">
      <w:pPr>
        <w:pStyle w:val="ListParagraph"/>
        <w:spacing w:after="0" w:line="240" w:lineRule="auto"/>
        <w:ind w:left="360"/>
        <w:jc w:val="both"/>
        <w:rPr>
          <w:rFonts w:asciiTheme="majorHAnsi" w:hAnsiTheme="majorHAnsi" w:cs="Times New Roman"/>
        </w:rPr>
      </w:pPr>
    </w:p>
    <w:p w14:paraId="77113010" w14:textId="77777777" w:rsidR="00BF2418" w:rsidRPr="005D004D" w:rsidRDefault="00C430EC" w:rsidP="00BE3799">
      <w:pPr>
        <w:pStyle w:val="ListParagraph"/>
        <w:numPr>
          <w:ilvl w:val="0"/>
          <w:numId w:val="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One time settlement with a bank. </w:t>
      </w:r>
    </w:p>
    <w:p w14:paraId="696DC8E6" w14:textId="77777777" w:rsidR="008A034C" w:rsidRPr="005D004D" w:rsidRDefault="008A034C" w:rsidP="00BE3799">
      <w:pPr>
        <w:pStyle w:val="ListParagraph"/>
        <w:spacing w:after="0" w:line="240" w:lineRule="auto"/>
        <w:ind w:left="360"/>
        <w:jc w:val="both"/>
        <w:rPr>
          <w:rFonts w:asciiTheme="majorHAnsi" w:hAnsiTheme="majorHAnsi" w:cs="Times New Roman"/>
        </w:rPr>
      </w:pPr>
    </w:p>
    <w:p w14:paraId="33C11FC2" w14:textId="77777777" w:rsidR="00BF2418" w:rsidRPr="005D004D" w:rsidRDefault="00C430EC" w:rsidP="00BE3799">
      <w:pPr>
        <w:pStyle w:val="ListParagraph"/>
        <w:numPr>
          <w:ilvl w:val="0"/>
          <w:numId w:val="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Reference to BIFR and winding-up petition filed by any party / creditors.  </w:t>
      </w:r>
    </w:p>
    <w:p w14:paraId="12EC2727" w14:textId="77777777" w:rsidR="008A034C" w:rsidRPr="005D004D" w:rsidRDefault="008A034C" w:rsidP="00BE3799">
      <w:pPr>
        <w:pStyle w:val="ListParagraph"/>
        <w:spacing w:after="0" w:line="240" w:lineRule="auto"/>
        <w:ind w:left="360"/>
        <w:jc w:val="both"/>
        <w:rPr>
          <w:rFonts w:asciiTheme="majorHAnsi" w:hAnsiTheme="majorHAnsi" w:cs="Times New Roman"/>
        </w:rPr>
      </w:pPr>
    </w:p>
    <w:p w14:paraId="08A6B633" w14:textId="77777777" w:rsidR="00BF2418" w:rsidRPr="005D004D" w:rsidRDefault="00C430EC" w:rsidP="00BE3799">
      <w:pPr>
        <w:pStyle w:val="ListParagraph"/>
        <w:numPr>
          <w:ilvl w:val="0"/>
          <w:numId w:val="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Issuance of Notices, call letters, resolutions and circulars sent to shareholders, debenture holders or creditors or any class of them or advertised in the media by the listed entity. </w:t>
      </w:r>
    </w:p>
    <w:p w14:paraId="7EA86A63" w14:textId="77777777" w:rsidR="008A034C" w:rsidRPr="005D004D" w:rsidRDefault="008A034C" w:rsidP="008A034C">
      <w:pPr>
        <w:spacing w:after="0" w:line="240" w:lineRule="auto"/>
        <w:jc w:val="both"/>
        <w:rPr>
          <w:rFonts w:asciiTheme="majorHAnsi" w:hAnsiTheme="majorHAnsi" w:cs="Times New Roman"/>
        </w:rPr>
      </w:pPr>
    </w:p>
    <w:p w14:paraId="1E064A15" w14:textId="77777777" w:rsidR="00BF2418" w:rsidRPr="005D004D" w:rsidRDefault="00C430EC" w:rsidP="00BE3799">
      <w:pPr>
        <w:pStyle w:val="ListParagraph"/>
        <w:numPr>
          <w:ilvl w:val="0"/>
          <w:numId w:val="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Proceedings of Annual and extraordinary general meetings of the listed entity. </w:t>
      </w:r>
    </w:p>
    <w:p w14:paraId="7254D3AE" w14:textId="77777777" w:rsidR="008A034C" w:rsidRPr="005D004D" w:rsidRDefault="008A034C" w:rsidP="008A034C">
      <w:pPr>
        <w:spacing w:after="0" w:line="240" w:lineRule="auto"/>
        <w:jc w:val="both"/>
        <w:rPr>
          <w:rFonts w:asciiTheme="majorHAnsi" w:hAnsiTheme="majorHAnsi" w:cs="Times New Roman"/>
        </w:rPr>
      </w:pPr>
    </w:p>
    <w:p w14:paraId="3B49A210" w14:textId="77777777" w:rsidR="00BF2418" w:rsidRPr="005D004D" w:rsidRDefault="00C430EC" w:rsidP="00BE3799">
      <w:pPr>
        <w:pStyle w:val="ListParagraph"/>
        <w:numPr>
          <w:ilvl w:val="0"/>
          <w:numId w:val="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Amendments to memorandum and articles of association of listed entity, in brief. </w:t>
      </w:r>
    </w:p>
    <w:p w14:paraId="12DB105D" w14:textId="77777777" w:rsidR="008A034C" w:rsidRPr="005D004D" w:rsidRDefault="008A034C" w:rsidP="00BE3799">
      <w:pPr>
        <w:pStyle w:val="ListParagraph"/>
        <w:spacing w:after="0" w:line="240" w:lineRule="auto"/>
        <w:ind w:left="360"/>
        <w:jc w:val="both"/>
        <w:rPr>
          <w:rFonts w:asciiTheme="majorHAnsi" w:hAnsiTheme="majorHAnsi" w:cs="Times New Roman"/>
        </w:rPr>
      </w:pPr>
    </w:p>
    <w:p w14:paraId="790F7D60" w14:textId="77777777" w:rsidR="001547E8" w:rsidRPr="005D004D" w:rsidRDefault="00C430EC" w:rsidP="00BE3799">
      <w:pPr>
        <w:pStyle w:val="ListParagraph"/>
        <w:numPr>
          <w:ilvl w:val="0"/>
          <w:numId w:val="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Schedule of Analyst or institutional investor meet and presentations on financial results made by the listed entity to analysts or institutional investors;  </w:t>
      </w:r>
    </w:p>
    <w:p w14:paraId="6249B18D" w14:textId="77777777" w:rsidR="00743CEA" w:rsidRPr="005D004D" w:rsidRDefault="00743CEA" w:rsidP="006B59EB">
      <w:pPr>
        <w:spacing w:after="0" w:line="240" w:lineRule="auto"/>
        <w:jc w:val="both"/>
        <w:rPr>
          <w:rFonts w:asciiTheme="majorHAnsi" w:hAnsiTheme="majorHAnsi" w:cs="Times New Roman"/>
          <w:b/>
        </w:rPr>
      </w:pPr>
    </w:p>
    <w:p w14:paraId="402D5ACB" w14:textId="77777777" w:rsidR="00714E3F"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b/>
        </w:rPr>
        <w:t>Note:</w:t>
      </w:r>
      <w:r w:rsidRPr="005D004D">
        <w:rPr>
          <w:rFonts w:asciiTheme="majorHAnsi" w:hAnsiTheme="majorHAnsi" w:cs="Times New Roman"/>
        </w:rPr>
        <w:t xml:space="preserve"> If the Management is not in a position to inform the stock exchange within 24 hours of the decision taken at the Board Meeting, then it shall inform the stock exchange as soon as it is possible with an explanation as to the reason for delay in disclosing the said information.  </w:t>
      </w:r>
    </w:p>
    <w:p w14:paraId="2700FF28" w14:textId="77777777" w:rsidR="00743CEA" w:rsidRPr="005D004D" w:rsidRDefault="00743CEA" w:rsidP="006B59EB">
      <w:pPr>
        <w:spacing w:after="0" w:line="240" w:lineRule="auto"/>
        <w:jc w:val="both"/>
        <w:rPr>
          <w:rFonts w:asciiTheme="majorHAnsi" w:hAnsiTheme="majorHAnsi" w:cs="Times New Roman"/>
          <w:b/>
        </w:rPr>
      </w:pPr>
    </w:p>
    <w:p w14:paraId="6C495A1A" w14:textId="77777777" w:rsidR="00714E3F" w:rsidRPr="005D004D" w:rsidRDefault="00C430EC" w:rsidP="00F77F97">
      <w:pPr>
        <w:spacing w:after="0" w:line="240" w:lineRule="auto"/>
        <w:rPr>
          <w:rFonts w:asciiTheme="majorHAnsi" w:hAnsiTheme="majorHAnsi" w:cs="Times New Roman"/>
          <w:b/>
        </w:rPr>
      </w:pPr>
      <w:r w:rsidRPr="005D004D">
        <w:rPr>
          <w:rFonts w:asciiTheme="majorHAnsi" w:hAnsiTheme="majorHAnsi" w:cs="Times New Roman"/>
          <w:b/>
        </w:rPr>
        <w:t>CATEGORY B</w:t>
      </w:r>
    </w:p>
    <w:p w14:paraId="5512769A" w14:textId="77777777" w:rsidR="008A034C" w:rsidRPr="005D004D" w:rsidRDefault="008A034C" w:rsidP="008A034C">
      <w:pPr>
        <w:spacing w:after="0" w:line="240" w:lineRule="auto"/>
        <w:jc w:val="center"/>
        <w:rPr>
          <w:rFonts w:asciiTheme="majorHAnsi" w:hAnsiTheme="majorHAnsi" w:cs="Times New Roman"/>
          <w:b/>
        </w:rPr>
      </w:pPr>
    </w:p>
    <w:p w14:paraId="405CE629" w14:textId="77777777" w:rsidR="00714E3F"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rPr>
        <w:t>Events which shall be disclosed upon application of the guidelines for materiality referred in sub</w:t>
      </w:r>
      <w:r w:rsidR="001364B6" w:rsidRPr="005D004D">
        <w:rPr>
          <w:rFonts w:asciiTheme="majorHAnsi" w:hAnsiTheme="majorHAnsi" w:cs="Times New Roman"/>
        </w:rPr>
        <w:t>-</w:t>
      </w:r>
      <w:r w:rsidRPr="005D004D">
        <w:rPr>
          <w:rFonts w:asciiTheme="majorHAnsi" w:hAnsiTheme="majorHAnsi" w:cs="Times New Roman"/>
        </w:rPr>
        <w:t xml:space="preserve">clause (4) of Regulation (30)/Miscellaneous Events / Decisions not considered Material in view of the Board of Directors, which however, needs to be disclosed to the stock exchanges as soon as possible when the necessary information is ready to be publicised which are: </w:t>
      </w:r>
    </w:p>
    <w:p w14:paraId="46F6822B" w14:textId="77777777" w:rsidR="0014784F" w:rsidRPr="005D004D" w:rsidRDefault="0014784F" w:rsidP="006B59EB">
      <w:pPr>
        <w:spacing w:after="0" w:line="240" w:lineRule="auto"/>
        <w:jc w:val="both"/>
        <w:rPr>
          <w:rFonts w:asciiTheme="majorHAnsi" w:hAnsiTheme="majorHAnsi" w:cs="Times New Roman"/>
        </w:rPr>
      </w:pPr>
    </w:p>
    <w:p w14:paraId="79EC8C33" w14:textId="77777777" w:rsidR="00714E3F" w:rsidRPr="005D004D" w:rsidRDefault="00C430EC" w:rsidP="00BE3799">
      <w:pPr>
        <w:pStyle w:val="ListParagraph"/>
        <w:numPr>
          <w:ilvl w:val="0"/>
          <w:numId w:val="17"/>
        </w:numPr>
        <w:spacing w:after="0" w:line="240" w:lineRule="auto"/>
        <w:ind w:left="360"/>
        <w:jc w:val="both"/>
        <w:rPr>
          <w:rFonts w:asciiTheme="majorHAnsi" w:hAnsiTheme="majorHAnsi" w:cs="Times New Roman"/>
        </w:rPr>
      </w:pPr>
      <w:r w:rsidRPr="005D004D">
        <w:rPr>
          <w:rFonts w:asciiTheme="majorHAnsi" w:hAnsiTheme="majorHAnsi" w:cs="Times New Roman"/>
        </w:rPr>
        <w:lastRenderedPageBreak/>
        <w:t xml:space="preserve">Commencement or postponement of the date of commercial production or operation of any unit / division. </w:t>
      </w:r>
    </w:p>
    <w:p w14:paraId="02CB85E7" w14:textId="77777777" w:rsidR="0014784F" w:rsidRPr="005D004D" w:rsidRDefault="0014784F" w:rsidP="00BE3799">
      <w:pPr>
        <w:pStyle w:val="ListParagraph"/>
        <w:spacing w:after="0" w:line="240" w:lineRule="auto"/>
        <w:ind w:left="360"/>
        <w:jc w:val="both"/>
        <w:rPr>
          <w:rFonts w:asciiTheme="majorHAnsi" w:hAnsiTheme="majorHAnsi" w:cs="Times New Roman"/>
        </w:rPr>
      </w:pPr>
    </w:p>
    <w:p w14:paraId="54DCAEAE" w14:textId="77777777" w:rsidR="00714E3F" w:rsidRPr="005D004D" w:rsidRDefault="00C430EC" w:rsidP="00BE3799">
      <w:pPr>
        <w:pStyle w:val="ListParagraph"/>
        <w:numPr>
          <w:ilvl w:val="0"/>
          <w:numId w:val="17"/>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Change in the general character or nature of business brought about by arrangements for strategic, technical manufacturing or marketing tie-up, new line of business or closure of operations of any unit / division. </w:t>
      </w:r>
    </w:p>
    <w:p w14:paraId="31263928" w14:textId="77777777" w:rsidR="00BE3799" w:rsidRPr="005D004D" w:rsidRDefault="00BE3799" w:rsidP="00BE3799">
      <w:pPr>
        <w:pStyle w:val="ListParagraph"/>
        <w:spacing w:after="0" w:line="240" w:lineRule="auto"/>
        <w:ind w:left="360"/>
        <w:jc w:val="both"/>
        <w:rPr>
          <w:rFonts w:asciiTheme="majorHAnsi" w:hAnsiTheme="majorHAnsi" w:cs="Times New Roman"/>
        </w:rPr>
      </w:pPr>
    </w:p>
    <w:p w14:paraId="226B8C40" w14:textId="77777777" w:rsidR="00714E3F" w:rsidRPr="005D004D" w:rsidRDefault="00C430EC" w:rsidP="00BE3799">
      <w:pPr>
        <w:pStyle w:val="ListParagraph"/>
        <w:numPr>
          <w:ilvl w:val="0"/>
          <w:numId w:val="17"/>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Capacity addition or new product launch. </w:t>
      </w:r>
    </w:p>
    <w:p w14:paraId="12F02920" w14:textId="77777777" w:rsidR="00B84A2B" w:rsidRPr="005D004D" w:rsidRDefault="00B84A2B" w:rsidP="00B84A2B">
      <w:pPr>
        <w:pStyle w:val="ListParagraph"/>
        <w:rPr>
          <w:rFonts w:asciiTheme="majorHAnsi" w:hAnsiTheme="majorHAnsi" w:cs="Times New Roman"/>
        </w:rPr>
      </w:pPr>
    </w:p>
    <w:p w14:paraId="22667B1B" w14:textId="77777777" w:rsidR="00080A17" w:rsidRPr="005D004D" w:rsidRDefault="00C430EC" w:rsidP="00BE3799">
      <w:pPr>
        <w:pStyle w:val="ListParagraph"/>
        <w:numPr>
          <w:ilvl w:val="0"/>
          <w:numId w:val="17"/>
        </w:numPr>
        <w:spacing w:after="0" w:line="240" w:lineRule="auto"/>
        <w:ind w:left="360"/>
        <w:jc w:val="both"/>
        <w:rPr>
          <w:rFonts w:asciiTheme="majorHAnsi" w:hAnsiTheme="majorHAnsi" w:cs="Times New Roman"/>
        </w:rPr>
      </w:pPr>
      <w:r w:rsidRPr="005D004D">
        <w:rPr>
          <w:rFonts w:asciiTheme="majorHAnsi" w:hAnsiTheme="majorHAnsi" w:cs="Times New Roman"/>
        </w:rPr>
        <w:t>Awarding, bagging/receiving, amendment or termination of awarded/bagged orders/contracts not in the normal course of business.</w:t>
      </w:r>
      <w:r w:rsidRPr="005D004D">
        <w:rPr>
          <w:rFonts w:asciiTheme="majorHAnsi" w:hAnsiTheme="majorHAnsi" w:cs="Times New Roman"/>
        </w:rPr>
        <w:tab/>
      </w:r>
    </w:p>
    <w:p w14:paraId="508D836A" w14:textId="77777777" w:rsidR="00BE3799" w:rsidRPr="005D004D" w:rsidRDefault="00BE3799" w:rsidP="00BE3799">
      <w:pPr>
        <w:pStyle w:val="ListParagraph"/>
        <w:spacing w:after="0" w:line="240" w:lineRule="auto"/>
        <w:ind w:left="360"/>
        <w:jc w:val="both"/>
        <w:rPr>
          <w:rFonts w:asciiTheme="majorHAnsi" w:hAnsiTheme="majorHAnsi" w:cs="Times New Roman"/>
        </w:rPr>
      </w:pPr>
    </w:p>
    <w:p w14:paraId="5FF753B8" w14:textId="77777777" w:rsidR="00714E3F" w:rsidRPr="005D004D" w:rsidRDefault="00C430EC" w:rsidP="00BE3799">
      <w:pPr>
        <w:pStyle w:val="ListParagraph"/>
        <w:numPr>
          <w:ilvl w:val="0"/>
          <w:numId w:val="17"/>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Agreements for loan or agreement(s) which are binding and not in the normal course of business and revision(s) or amendment(s) or termination(s) </w:t>
      </w:r>
      <w:proofErr w:type="gramStart"/>
      <w:r w:rsidRPr="005D004D">
        <w:rPr>
          <w:rFonts w:asciiTheme="majorHAnsi" w:hAnsiTheme="majorHAnsi" w:cs="Times New Roman"/>
        </w:rPr>
        <w:t>thereof .</w:t>
      </w:r>
      <w:proofErr w:type="gramEnd"/>
    </w:p>
    <w:p w14:paraId="2E53AE5C" w14:textId="77777777" w:rsidR="00BE3799" w:rsidRPr="005D004D" w:rsidRDefault="00BE3799" w:rsidP="00BE3799">
      <w:pPr>
        <w:pStyle w:val="ListParagraph"/>
        <w:spacing w:after="0" w:line="240" w:lineRule="auto"/>
        <w:ind w:left="360"/>
        <w:jc w:val="both"/>
        <w:rPr>
          <w:rFonts w:asciiTheme="majorHAnsi" w:hAnsiTheme="majorHAnsi" w:cs="Times New Roman"/>
        </w:rPr>
      </w:pPr>
    </w:p>
    <w:p w14:paraId="5B54C434" w14:textId="77777777" w:rsidR="00714E3F" w:rsidRPr="005D004D" w:rsidRDefault="00C430EC" w:rsidP="00BE3799">
      <w:pPr>
        <w:pStyle w:val="ListParagraph"/>
        <w:numPr>
          <w:ilvl w:val="0"/>
          <w:numId w:val="17"/>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Disruption of operation of any one or more units due to natural calamity (earthquake, flood, fire etc.), force majeure, or events such as strikes, lockouts </w:t>
      </w:r>
      <w:proofErr w:type="gramStart"/>
      <w:r w:rsidRPr="005D004D">
        <w:rPr>
          <w:rFonts w:asciiTheme="majorHAnsi" w:hAnsiTheme="majorHAnsi" w:cs="Times New Roman"/>
        </w:rPr>
        <w:t>etc..</w:t>
      </w:r>
      <w:proofErr w:type="gramEnd"/>
    </w:p>
    <w:p w14:paraId="5DF7F55A" w14:textId="77777777" w:rsidR="00BE3799" w:rsidRPr="005D004D" w:rsidRDefault="00BE3799" w:rsidP="00BE3799">
      <w:pPr>
        <w:pStyle w:val="ListParagraph"/>
        <w:spacing w:after="0" w:line="240" w:lineRule="auto"/>
        <w:ind w:left="360"/>
        <w:jc w:val="both"/>
        <w:rPr>
          <w:rFonts w:asciiTheme="majorHAnsi" w:hAnsiTheme="majorHAnsi" w:cs="Times New Roman"/>
        </w:rPr>
      </w:pPr>
    </w:p>
    <w:p w14:paraId="0C8C5E35" w14:textId="77777777" w:rsidR="00714E3F" w:rsidRPr="005D004D" w:rsidRDefault="00C430EC" w:rsidP="00BE3799">
      <w:pPr>
        <w:pStyle w:val="ListParagraph"/>
        <w:numPr>
          <w:ilvl w:val="0"/>
          <w:numId w:val="17"/>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Effect(s) arising out of change in regulatory framework applicable to the listed entity. </w:t>
      </w:r>
    </w:p>
    <w:p w14:paraId="0006C8F0" w14:textId="77777777" w:rsidR="00BE3799" w:rsidRPr="005D004D" w:rsidRDefault="00BE3799" w:rsidP="00BE3799">
      <w:pPr>
        <w:pStyle w:val="ListParagraph"/>
        <w:spacing w:after="0" w:line="240" w:lineRule="auto"/>
        <w:ind w:left="360"/>
        <w:jc w:val="both"/>
        <w:rPr>
          <w:rFonts w:asciiTheme="majorHAnsi" w:hAnsiTheme="majorHAnsi" w:cs="Times New Roman"/>
        </w:rPr>
      </w:pPr>
    </w:p>
    <w:p w14:paraId="1F573CB6" w14:textId="77777777" w:rsidR="00714E3F" w:rsidRPr="005D004D" w:rsidRDefault="001537C9" w:rsidP="00BE3799">
      <w:pPr>
        <w:pStyle w:val="ListParagraph"/>
        <w:numPr>
          <w:ilvl w:val="0"/>
          <w:numId w:val="17"/>
        </w:numPr>
        <w:spacing w:after="0" w:line="240" w:lineRule="auto"/>
        <w:ind w:left="360"/>
        <w:jc w:val="both"/>
        <w:rPr>
          <w:rFonts w:asciiTheme="majorHAnsi" w:hAnsiTheme="majorHAnsi" w:cs="Times New Roman"/>
        </w:rPr>
      </w:pPr>
      <w:r>
        <w:rPr>
          <w:rFonts w:asciiTheme="majorHAnsi" w:hAnsiTheme="majorHAnsi" w:cs="Times New Roman"/>
        </w:rPr>
        <w:t>Litigation(s)/dispute(s)/</w:t>
      </w:r>
      <w:r w:rsidR="00C430EC" w:rsidRPr="005D004D">
        <w:rPr>
          <w:rFonts w:asciiTheme="majorHAnsi" w:hAnsiTheme="majorHAnsi" w:cs="Times New Roman"/>
        </w:rPr>
        <w:t xml:space="preserve">regulatory action(s) with impact. </w:t>
      </w:r>
    </w:p>
    <w:p w14:paraId="70C0DB52" w14:textId="77777777" w:rsidR="00B84A2B" w:rsidRPr="005D004D" w:rsidRDefault="00B84A2B" w:rsidP="00B84A2B">
      <w:pPr>
        <w:pStyle w:val="ListParagraph"/>
        <w:rPr>
          <w:rFonts w:asciiTheme="majorHAnsi" w:hAnsiTheme="majorHAnsi" w:cs="Times New Roman"/>
        </w:rPr>
      </w:pPr>
    </w:p>
    <w:p w14:paraId="31AAD206" w14:textId="77777777" w:rsidR="00A94914" w:rsidRPr="005D004D" w:rsidRDefault="001537C9" w:rsidP="00BE3799">
      <w:pPr>
        <w:pStyle w:val="ListParagraph"/>
        <w:numPr>
          <w:ilvl w:val="0"/>
          <w:numId w:val="17"/>
        </w:numPr>
        <w:spacing w:after="0" w:line="240" w:lineRule="auto"/>
        <w:ind w:left="360"/>
        <w:jc w:val="both"/>
        <w:rPr>
          <w:rFonts w:asciiTheme="majorHAnsi" w:hAnsiTheme="majorHAnsi" w:cs="Times New Roman"/>
        </w:rPr>
      </w:pPr>
      <w:r>
        <w:rPr>
          <w:rFonts w:asciiTheme="majorHAnsi" w:hAnsiTheme="majorHAnsi" w:cs="Times New Roman"/>
        </w:rPr>
        <w:t>Fraud/Defaults etc. b</w:t>
      </w:r>
      <w:r w:rsidR="00C430EC" w:rsidRPr="005D004D">
        <w:rPr>
          <w:rFonts w:asciiTheme="majorHAnsi" w:hAnsiTheme="majorHAnsi" w:cs="Times New Roman"/>
        </w:rPr>
        <w:t>y directors (other than Key Managerial Personnel) or employees of the listed entity.</w:t>
      </w:r>
    </w:p>
    <w:p w14:paraId="01480620" w14:textId="77777777" w:rsidR="00BE3799" w:rsidRPr="005D004D" w:rsidRDefault="00BE3799" w:rsidP="00BE3799">
      <w:pPr>
        <w:pStyle w:val="ListParagraph"/>
        <w:spacing w:after="0" w:line="240" w:lineRule="auto"/>
        <w:ind w:left="360"/>
        <w:jc w:val="both"/>
        <w:rPr>
          <w:rFonts w:asciiTheme="majorHAnsi" w:hAnsiTheme="majorHAnsi" w:cs="Times New Roman"/>
        </w:rPr>
      </w:pPr>
    </w:p>
    <w:p w14:paraId="431FBA37" w14:textId="77777777" w:rsidR="00714E3F" w:rsidRPr="005D004D" w:rsidRDefault="00C430EC" w:rsidP="00BE3799">
      <w:pPr>
        <w:pStyle w:val="ListParagraph"/>
        <w:numPr>
          <w:ilvl w:val="0"/>
          <w:numId w:val="17"/>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Options to purchase securities including ESOP/ESPS scheme. </w:t>
      </w:r>
    </w:p>
    <w:p w14:paraId="3337997D" w14:textId="77777777" w:rsidR="00BE3799" w:rsidRPr="005D004D" w:rsidRDefault="00BE3799" w:rsidP="00BE3799">
      <w:pPr>
        <w:pStyle w:val="ListParagraph"/>
        <w:spacing w:after="0" w:line="240" w:lineRule="auto"/>
        <w:ind w:left="360"/>
        <w:jc w:val="both"/>
        <w:rPr>
          <w:rFonts w:asciiTheme="majorHAnsi" w:hAnsiTheme="majorHAnsi" w:cs="Times New Roman"/>
        </w:rPr>
      </w:pPr>
    </w:p>
    <w:p w14:paraId="7708169D" w14:textId="77777777" w:rsidR="00714E3F" w:rsidRPr="005D004D" w:rsidRDefault="00C430EC" w:rsidP="00BE3799">
      <w:pPr>
        <w:pStyle w:val="ListParagraph"/>
        <w:numPr>
          <w:ilvl w:val="0"/>
          <w:numId w:val="17"/>
        </w:numPr>
        <w:spacing w:after="0" w:line="240" w:lineRule="auto"/>
        <w:ind w:left="360"/>
        <w:jc w:val="both"/>
        <w:rPr>
          <w:rFonts w:asciiTheme="majorHAnsi" w:hAnsiTheme="majorHAnsi" w:cs="Times New Roman"/>
        </w:rPr>
      </w:pPr>
      <w:r w:rsidRPr="005D004D">
        <w:rPr>
          <w:rFonts w:asciiTheme="majorHAnsi" w:hAnsiTheme="majorHAnsi" w:cs="Times New Roman"/>
        </w:rPr>
        <w:t>Giving of guarantees or indemnity or becoming a surety for any third party.</w:t>
      </w:r>
    </w:p>
    <w:p w14:paraId="0C588CCF" w14:textId="77777777" w:rsidR="00BE3799" w:rsidRPr="005D004D" w:rsidRDefault="00BE3799" w:rsidP="00BE3799">
      <w:pPr>
        <w:pStyle w:val="ListParagraph"/>
        <w:spacing w:after="0" w:line="240" w:lineRule="auto"/>
        <w:ind w:left="360"/>
        <w:jc w:val="both"/>
        <w:rPr>
          <w:rFonts w:asciiTheme="majorHAnsi" w:hAnsiTheme="majorHAnsi" w:cs="Times New Roman"/>
        </w:rPr>
      </w:pPr>
    </w:p>
    <w:p w14:paraId="3C1E99C5" w14:textId="77777777" w:rsidR="00714E3F" w:rsidRPr="005D004D" w:rsidRDefault="00C430EC" w:rsidP="00BE3799">
      <w:pPr>
        <w:pStyle w:val="ListParagraph"/>
        <w:numPr>
          <w:ilvl w:val="0"/>
          <w:numId w:val="17"/>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Granting, withdrawal, surrender, cancellation or suspension of key licenses or regulatory approvals. </w:t>
      </w:r>
    </w:p>
    <w:p w14:paraId="7CFDF9B9" w14:textId="77777777" w:rsidR="00BE3799" w:rsidRPr="005D004D" w:rsidRDefault="00BE3799" w:rsidP="00BE3799">
      <w:pPr>
        <w:pStyle w:val="ListParagraph"/>
        <w:spacing w:after="0" w:line="240" w:lineRule="auto"/>
        <w:ind w:left="360"/>
        <w:jc w:val="both"/>
        <w:rPr>
          <w:rFonts w:asciiTheme="majorHAnsi" w:hAnsiTheme="majorHAnsi" w:cs="Times New Roman"/>
        </w:rPr>
      </w:pPr>
    </w:p>
    <w:p w14:paraId="36622246" w14:textId="77777777" w:rsidR="00714E3F" w:rsidRPr="005D004D" w:rsidRDefault="00C430EC" w:rsidP="00BE3799">
      <w:pPr>
        <w:pStyle w:val="ListParagraph"/>
        <w:numPr>
          <w:ilvl w:val="0"/>
          <w:numId w:val="17"/>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Emergence of new technologies, </w:t>
      </w:r>
    </w:p>
    <w:p w14:paraId="6DC998D7" w14:textId="77777777" w:rsidR="00BE3799" w:rsidRPr="005D004D" w:rsidRDefault="00BE3799" w:rsidP="00BE3799">
      <w:pPr>
        <w:pStyle w:val="ListParagraph"/>
        <w:spacing w:after="0" w:line="240" w:lineRule="auto"/>
        <w:jc w:val="both"/>
        <w:rPr>
          <w:rFonts w:asciiTheme="majorHAnsi" w:hAnsiTheme="majorHAnsi" w:cs="Times New Roman"/>
        </w:rPr>
      </w:pPr>
    </w:p>
    <w:p w14:paraId="69F95FE5" w14:textId="77777777" w:rsidR="00714E3F" w:rsidRPr="005D004D" w:rsidRDefault="00C430EC" w:rsidP="00BE3799">
      <w:pPr>
        <w:pStyle w:val="ListParagraph"/>
        <w:numPr>
          <w:ilvl w:val="0"/>
          <w:numId w:val="18"/>
        </w:numPr>
        <w:spacing w:after="0" w:line="240" w:lineRule="auto"/>
        <w:ind w:left="1260" w:hanging="540"/>
        <w:jc w:val="both"/>
        <w:rPr>
          <w:rFonts w:asciiTheme="majorHAnsi" w:hAnsiTheme="majorHAnsi" w:cs="Times New Roman"/>
        </w:rPr>
      </w:pPr>
      <w:r w:rsidRPr="005D004D">
        <w:rPr>
          <w:rFonts w:asciiTheme="majorHAnsi" w:hAnsiTheme="majorHAnsi" w:cs="Times New Roman"/>
        </w:rPr>
        <w:t xml:space="preserve">Expiry of patents. </w:t>
      </w:r>
    </w:p>
    <w:p w14:paraId="1EE0D4B2" w14:textId="77777777" w:rsidR="00714E3F" w:rsidRPr="005D004D" w:rsidRDefault="00C430EC" w:rsidP="00BE3799">
      <w:pPr>
        <w:pStyle w:val="ListParagraph"/>
        <w:numPr>
          <w:ilvl w:val="0"/>
          <w:numId w:val="18"/>
        </w:numPr>
        <w:spacing w:after="0" w:line="240" w:lineRule="auto"/>
        <w:ind w:left="1260" w:hanging="540"/>
        <w:jc w:val="both"/>
        <w:rPr>
          <w:rFonts w:asciiTheme="majorHAnsi" w:hAnsiTheme="majorHAnsi" w:cs="Times New Roman"/>
        </w:rPr>
      </w:pPr>
      <w:r w:rsidRPr="005D004D">
        <w:rPr>
          <w:rFonts w:asciiTheme="majorHAnsi" w:hAnsiTheme="majorHAnsi" w:cs="Times New Roman"/>
        </w:rPr>
        <w:t xml:space="preserve">Change in accounting policy. </w:t>
      </w:r>
    </w:p>
    <w:p w14:paraId="324C77D9" w14:textId="77777777" w:rsidR="00BE3799" w:rsidRPr="005D004D" w:rsidRDefault="00C430EC" w:rsidP="00BE3799">
      <w:pPr>
        <w:pStyle w:val="ListParagraph"/>
        <w:numPr>
          <w:ilvl w:val="0"/>
          <w:numId w:val="18"/>
        </w:numPr>
        <w:spacing w:after="0" w:line="240" w:lineRule="auto"/>
        <w:ind w:left="1260" w:hanging="540"/>
        <w:jc w:val="both"/>
        <w:rPr>
          <w:rFonts w:asciiTheme="majorHAnsi" w:hAnsiTheme="majorHAnsi" w:cs="Times New Roman"/>
        </w:rPr>
      </w:pPr>
      <w:r w:rsidRPr="005D004D">
        <w:rPr>
          <w:rFonts w:asciiTheme="majorHAnsi" w:hAnsiTheme="majorHAnsi" w:cs="Times New Roman"/>
        </w:rPr>
        <w:t xml:space="preserve">Any other information that may be deemed necessary jointly and severally by the </w:t>
      </w:r>
    </w:p>
    <w:p w14:paraId="3A9E88BD" w14:textId="77777777" w:rsidR="00EE2559" w:rsidRPr="005D004D" w:rsidRDefault="00EE2559" w:rsidP="00B84A2B">
      <w:pPr>
        <w:spacing w:after="0" w:line="240" w:lineRule="auto"/>
        <w:jc w:val="both"/>
        <w:rPr>
          <w:rFonts w:asciiTheme="majorHAnsi" w:hAnsiTheme="majorHAnsi" w:cs="Times New Roman"/>
        </w:rPr>
      </w:pPr>
    </w:p>
    <w:p w14:paraId="6EF08A62" w14:textId="77777777" w:rsidR="00B84A2B" w:rsidRPr="005D004D" w:rsidRDefault="00C430EC" w:rsidP="00B84A2B">
      <w:pPr>
        <w:spacing w:after="0" w:line="240" w:lineRule="auto"/>
        <w:jc w:val="both"/>
        <w:rPr>
          <w:rFonts w:asciiTheme="majorHAnsi" w:hAnsiTheme="majorHAnsi" w:cs="Times New Roman"/>
        </w:rPr>
      </w:pPr>
      <w:r w:rsidRPr="005D004D">
        <w:rPr>
          <w:rFonts w:asciiTheme="majorHAnsi" w:hAnsiTheme="majorHAnsi" w:cs="Times New Roman"/>
        </w:rPr>
        <w:t xml:space="preserve">KMPs of the Company who would consider that it is necessary for the holders of the securities of the listed entity to appraise its position and to avoid the establishment of a false market. </w:t>
      </w:r>
    </w:p>
    <w:p w14:paraId="1CF9B5A2" w14:textId="77777777" w:rsidR="00BE3799" w:rsidRPr="005D004D" w:rsidRDefault="00BE3799" w:rsidP="00BE3799">
      <w:pPr>
        <w:pStyle w:val="ListParagraph"/>
        <w:spacing w:after="0" w:line="240" w:lineRule="auto"/>
        <w:ind w:left="360"/>
        <w:jc w:val="both"/>
        <w:rPr>
          <w:rFonts w:asciiTheme="majorHAnsi" w:hAnsiTheme="majorHAnsi" w:cs="Times New Roman"/>
        </w:rPr>
      </w:pPr>
    </w:p>
    <w:p w14:paraId="32B9CE36" w14:textId="77777777" w:rsidR="00025AE4" w:rsidRPr="005D004D" w:rsidRDefault="00C430EC" w:rsidP="00BE3799">
      <w:pPr>
        <w:pStyle w:val="ListParagraph"/>
        <w:numPr>
          <w:ilvl w:val="0"/>
          <w:numId w:val="17"/>
        </w:numPr>
        <w:spacing w:after="0" w:line="240" w:lineRule="auto"/>
        <w:ind w:left="360"/>
        <w:jc w:val="both"/>
        <w:rPr>
          <w:rFonts w:asciiTheme="majorHAnsi" w:hAnsiTheme="majorHAnsi" w:cs="Times New Roman"/>
        </w:rPr>
      </w:pPr>
      <w:r w:rsidRPr="005D004D">
        <w:rPr>
          <w:rFonts w:asciiTheme="majorHAnsi" w:hAnsiTheme="majorHAnsi" w:cs="Times New Roman"/>
        </w:rPr>
        <w:t>The Board may in its discretion also authorise the KMPs to disclose such events, information or material that in its wisdom may be necessary for the Members of the exchange to know the information.</w:t>
      </w:r>
    </w:p>
    <w:p w14:paraId="1D28B69A" w14:textId="77777777" w:rsidR="0014784F" w:rsidRPr="005D004D" w:rsidRDefault="0014784F" w:rsidP="00BE3799">
      <w:pPr>
        <w:pStyle w:val="ListParagraph"/>
        <w:spacing w:after="0" w:line="240" w:lineRule="auto"/>
        <w:ind w:left="360"/>
        <w:jc w:val="both"/>
        <w:rPr>
          <w:rFonts w:asciiTheme="majorHAnsi" w:hAnsiTheme="majorHAnsi" w:cs="Times New Roman"/>
        </w:rPr>
      </w:pPr>
    </w:p>
    <w:p w14:paraId="3DF1E246" w14:textId="77777777" w:rsidR="00714E3F" w:rsidRPr="005D004D" w:rsidRDefault="00C430EC" w:rsidP="00BE3799">
      <w:pPr>
        <w:pStyle w:val="ListParagraph"/>
        <w:numPr>
          <w:ilvl w:val="0"/>
          <w:numId w:val="17"/>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The Management shall periodically bring to the attention of the Board of Directors of the Company, all information, events or materials which in its opinion has to be brought to the attention of the Members of the Stock Exchanges. </w:t>
      </w:r>
    </w:p>
    <w:p w14:paraId="03827758" w14:textId="77777777" w:rsidR="0015204C" w:rsidRPr="005D004D" w:rsidRDefault="0015204C" w:rsidP="006B59EB">
      <w:pPr>
        <w:spacing w:after="0" w:line="240" w:lineRule="auto"/>
        <w:jc w:val="both"/>
        <w:rPr>
          <w:rFonts w:asciiTheme="majorHAnsi" w:hAnsiTheme="majorHAnsi" w:cs="Times New Roman"/>
          <w:b/>
        </w:rPr>
      </w:pPr>
    </w:p>
    <w:p w14:paraId="3F290B43" w14:textId="77777777" w:rsidR="00714E3F" w:rsidRPr="005D004D" w:rsidRDefault="00E316DB" w:rsidP="000A2B1B">
      <w:pPr>
        <w:pStyle w:val="ListParagraph"/>
        <w:numPr>
          <w:ilvl w:val="0"/>
          <w:numId w:val="1"/>
        </w:numPr>
        <w:spacing w:after="0" w:line="240" w:lineRule="auto"/>
        <w:jc w:val="both"/>
        <w:rPr>
          <w:rFonts w:asciiTheme="majorHAnsi" w:hAnsiTheme="majorHAnsi" w:cs="Times New Roman"/>
        </w:rPr>
      </w:pPr>
      <w:r w:rsidRPr="005D004D">
        <w:rPr>
          <w:rFonts w:asciiTheme="majorHAnsi" w:hAnsiTheme="majorHAnsi" w:cs="Times New Roman"/>
          <w:b/>
        </w:rPr>
        <w:t>CRITERIA FOR DISCLOSURE OF EVENTS / INFORMATION</w:t>
      </w:r>
      <w:r w:rsidR="00C430EC" w:rsidRPr="005D004D">
        <w:rPr>
          <w:rFonts w:asciiTheme="majorHAnsi" w:hAnsiTheme="majorHAnsi" w:cs="Times New Roman"/>
        </w:rPr>
        <w:t>mentioned in Category B above:</w:t>
      </w:r>
    </w:p>
    <w:p w14:paraId="24A1EE32" w14:textId="77777777" w:rsidR="000A2B1B" w:rsidRPr="005D004D" w:rsidRDefault="000A2B1B" w:rsidP="000A2B1B">
      <w:pPr>
        <w:pStyle w:val="ListParagraph"/>
        <w:spacing w:after="0" w:line="240" w:lineRule="auto"/>
        <w:jc w:val="both"/>
        <w:rPr>
          <w:rFonts w:asciiTheme="majorHAnsi" w:hAnsiTheme="majorHAnsi" w:cs="Times New Roman"/>
        </w:rPr>
      </w:pPr>
    </w:p>
    <w:p w14:paraId="733BBA5E" w14:textId="77777777" w:rsidR="00025AE4" w:rsidRPr="005D004D" w:rsidRDefault="00C430EC" w:rsidP="00BE3799">
      <w:pPr>
        <w:pStyle w:val="ListParagraph"/>
        <w:numPr>
          <w:ilvl w:val="0"/>
          <w:numId w:val="1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The omission of an event or information which would likely to result in discontinuity or alteration of event or information already made available publicly or </w:t>
      </w:r>
    </w:p>
    <w:p w14:paraId="5569AFEB" w14:textId="77777777" w:rsidR="00025AE4" w:rsidRPr="005D004D" w:rsidRDefault="00C430EC" w:rsidP="00BE3799">
      <w:pPr>
        <w:pStyle w:val="ListParagraph"/>
        <w:numPr>
          <w:ilvl w:val="0"/>
          <w:numId w:val="19"/>
        </w:numPr>
        <w:spacing w:after="0" w:line="240" w:lineRule="auto"/>
        <w:ind w:left="360"/>
        <w:jc w:val="both"/>
        <w:rPr>
          <w:rFonts w:asciiTheme="majorHAnsi" w:hAnsiTheme="majorHAnsi" w:cs="Times New Roman"/>
        </w:rPr>
      </w:pPr>
      <w:r w:rsidRPr="005D004D">
        <w:rPr>
          <w:rFonts w:asciiTheme="majorHAnsi" w:hAnsiTheme="majorHAnsi" w:cs="Times New Roman"/>
        </w:rPr>
        <w:lastRenderedPageBreak/>
        <w:t>The omission of an event or information is likely to result in significant market reaction if the said omission came to light at a later date;</w:t>
      </w:r>
    </w:p>
    <w:p w14:paraId="528EA94E" w14:textId="77777777" w:rsidR="00714E3F" w:rsidRDefault="00C430EC" w:rsidP="00BE3799">
      <w:pPr>
        <w:pStyle w:val="ListParagraph"/>
        <w:numPr>
          <w:ilvl w:val="0"/>
          <w:numId w:val="19"/>
        </w:numPr>
        <w:spacing w:after="0" w:line="240" w:lineRule="auto"/>
        <w:ind w:left="360"/>
        <w:jc w:val="both"/>
        <w:rPr>
          <w:rFonts w:asciiTheme="majorHAnsi" w:hAnsiTheme="majorHAnsi" w:cs="Times New Roman"/>
        </w:rPr>
      </w:pPr>
      <w:r w:rsidRPr="005D004D">
        <w:rPr>
          <w:rFonts w:asciiTheme="majorHAnsi" w:hAnsiTheme="majorHAnsi" w:cs="Times New Roman"/>
        </w:rPr>
        <w:t xml:space="preserve">In case where the criteria of an event / information </w:t>
      </w:r>
      <w:proofErr w:type="gramStart"/>
      <w:r w:rsidRPr="005D004D">
        <w:rPr>
          <w:rFonts w:asciiTheme="majorHAnsi" w:hAnsiTheme="majorHAnsi" w:cs="Times New Roman"/>
        </w:rPr>
        <w:t>does</w:t>
      </w:r>
      <w:proofErr w:type="gramEnd"/>
      <w:r w:rsidRPr="005D004D">
        <w:rPr>
          <w:rFonts w:asciiTheme="majorHAnsi" w:hAnsiTheme="majorHAnsi" w:cs="Times New Roman"/>
        </w:rPr>
        <w:t xml:space="preserve"> not fall in the categories mentioned above, but still in the opinion of the board of directors considered material. </w:t>
      </w:r>
    </w:p>
    <w:p w14:paraId="6CA35EBD" w14:textId="77777777" w:rsidR="001250FB" w:rsidRPr="005D004D" w:rsidRDefault="001250FB" w:rsidP="001250FB">
      <w:pPr>
        <w:pStyle w:val="ListParagraph"/>
        <w:spacing w:after="0" w:line="240" w:lineRule="auto"/>
        <w:ind w:left="360"/>
        <w:jc w:val="both"/>
        <w:rPr>
          <w:rFonts w:asciiTheme="majorHAnsi" w:hAnsiTheme="majorHAnsi" w:cs="Times New Roman"/>
        </w:rPr>
      </w:pPr>
    </w:p>
    <w:p w14:paraId="4601F47F" w14:textId="77777777" w:rsidR="00714E3F" w:rsidRPr="005D004D" w:rsidRDefault="00E316DB" w:rsidP="000A2B1B">
      <w:pPr>
        <w:pStyle w:val="ListParagraph"/>
        <w:numPr>
          <w:ilvl w:val="0"/>
          <w:numId w:val="1"/>
        </w:numPr>
        <w:spacing w:after="0" w:line="240" w:lineRule="auto"/>
        <w:jc w:val="both"/>
        <w:rPr>
          <w:rFonts w:asciiTheme="majorHAnsi" w:hAnsiTheme="majorHAnsi" w:cs="Times New Roman"/>
          <w:u w:val="single"/>
        </w:rPr>
      </w:pPr>
      <w:r w:rsidRPr="005D004D">
        <w:rPr>
          <w:rFonts w:asciiTheme="majorHAnsi" w:hAnsiTheme="majorHAnsi" w:cs="Times New Roman"/>
          <w:b/>
          <w:u w:val="single"/>
        </w:rPr>
        <w:t>AUTHORITY FOR DETERMINATION OF MATERIALITY OF EVENTS / INFORMATION</w:t>
      </w:r>
    </w:p>
    <w:p w14:paraId="540D79D6" w14:textId="77777777" w:rsidR="000A2B1B" w:rsidRPr="005D004D" w:rsidRDefault="000A2B1B" w:rsidP="000A2B1B">
      <w:pPr>
        <w:pStyle w:val="ListParagraph"/>
        <w:spacing w:after="0" w:line="240" w:lineRule="auto"/>
        <w:jc w:val="both"/>
        <w:rPr>
          <w:rFonts w:asciiTheme="majorHAnsi" w:hAnsiTheme="majorHAnsi" w:cs="Times New Roman"/>
        </w:rPr>
      </w:pPr>
    </w:p>
    <w:p w14:paraId="2407EE72" w14:textId="77777777" w:rsidR="00714E3F"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rPr>
        <w:t xml:space="preserve">The Key Managerial Personnel (KMPs) consisting of the Managing / Whole-time Director, Chief Financial Officer and the Company Secretary are hereby jointly and severally authorised to determine whether the event / information is material or not and in turn about its time line for disclosure based on the category of information as specified above to the stock exchanges, subject to such information being placed prior to or at the immediate Board Meeting held after the said information being made public. </w:t>
      </w:r>
    </w:p>
    <w:p w14:paraId="5F534DE0" w14:textId="77777777" w:rsidR="00CB1E1E" w:rsidRPr="005D004D" w:rsidRDefault="00CB1E1E" w:rsidP="006B59EB">
      <w:pPr>
        <w:spacing w:after="0" w:line="240" w:lineRule="auto"/>
        <w:jc w:val="both"/>
        <w:rPr>
          <w:rFonts w:asciiTheme="majorHAnsi" w:hAnsiTheme="majorHAnsi" w:cs="Times New Roman"/>
          <w:b/>
        </w:rPr>
      </w:pPr>
    </w:p>
    <w:p w14:paraId="19DF68A3" w14:textId="77777777" w:rsidR="000A2B1B" w:rsidRPr="005D004D" w:rsidRDefault="00E316DB" w:rsidP="000A2B1B">
      <w:pPr>
        <w:pStyle w:val="ListParagraph"/>
        <w:numPr>
          <w:ilvl w:val="0"/>
          <w:numId w:val="1"/>
        </w:numPr>
        <w:spacing w:after="0" w:line="240" w:lineRule="auto"/>
        <w:jc w:val="both"/>
        <w:rPr>
          <w:rFonts w:asciiTheme="majorHAnsi" w:hAnsiTheme="majorHAnsi" w:cs="Times New Roman"/>
          <w:u w:val="single"/>
        </w:rPr>
      </w:pPr>
      <w:r w:rsidRPr="005D004D">
        <w:rPr>
          <w:rFonts w:asciiTheme="majorHAnsi" w:hAnsiTheme="majorHAnsi" w:cs="Times New Roman"/>
          <w:b/>
          <w:u w:val="single"/>
        </w:rPr>
        <w:t>WEBSITE UPDATING / UPDATE TO STOCK EXCHANGES</w:t>
      </w:r>
    </w:p>
    <w:p w14:paraId="2ABDFC06" w14:textId="77777777" w:rsidR="000A2B1B" w:rsidRPr="005D004D" w:rsidRDefault="000A2B1B" w:rsidP="000A2B1B">
      <w:pPr>
        <w:pStyle w:val="ListParagraph"/>
        <w:spacing w:after="0" w:line="240" w:lineRule="auto"/>
        <w:jc w:val="both"/>
        <w:rPr>
          <w:rFonts w:asciiTheme="majorHAnsi" w:hAnsiTheme="majorHAnsi" w:cs="Times New Roman"/>
        </w:rPr>
      </w:pPr>
    </w:p>
    <w:p w14:paraId="557A3E9B" w14:textId="77777777" w:rsidR="00025AE4"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rPr>
        <w:t>The Company shall update all disclosures made under the regulations to the stock exchanges in its website and shall be continued to be hosted in the website for a minimum period of five years and thereafter archived as per the document retention policy of the Company.</w:t>
      </w:r>
    </w:p>
    <w:p w14:paraId="4DC0A4A3" w14:textId="77777777" w:rsidR="00CE610F" w:rsidRPr="005D004D" w:rsidRDefault="00CE610F" w:rsidP="006B59EB">
      <w:pPr>
        <w:spacing w:after="0" w:line="240" w:lineRule="auto"/>
        <w:jc w:val="both"/>
        <w:rPr>
          <w:rFonts w:asciiTheme="majorHAnsi" w:hAnsiTheme="majorHAnsi" w:cs="Times New Roman"/>
        </w:rPr>
      </w:pPr>
    </w:p>
    <w:p w14:paraId="7278E35E" w14:textId="77777777" w:rsidR="00714E3F"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rPr>
        <w:t xml:space="preserve">The Compliance Officer, of the Company, shall give updates to the Board of Directors and to the Stock Exchanges on any material event that may have been first informed to the stock exchanges including further developments, if any, on such events. Such updates shall also be hosted on the website of the Company. </w:t>
      </w:r>
    </w:p>
    <w:p w14:paraId="22B78B68" w14:textId="77777777" w:rsidR="00CE610F" w:rsidRPr="005D004D" w:rsidRDefault="00CE610F" w:rsidP="006B59EB">
      <w:pPr>
        <w:spacing w:after="0" w:line="240" w:lineRule="auto"/>
        <w:jc w:val="both"/>
        <w:rPr>
          <w:rFonts w:asciiTheme="majorHAnsi" w:hAnsiTheme="majorHAnsi" w:cs="Times New Roman"/>
          <w:b/>
        </w:rPr>
      </w:pPr>
    </w:p>
    <w:p w14:paraId="766BCACD" w14:textId="77777777" w:rsidR="00714E3F" w:rsidRPr="004F3B4D" w:rsidRDefault="00E316DB" w:rsidP="000A2B1B">
      <w:pPr>
        <w:pStyle w:val="ListParagraph"/>
        <w:numPr>
          <w:ilvl w:val="0"/>
          <w:numId w:val="1"/>
        </w:numPr>
        <w:spacing w:after="0" w:line="240" w:lineRule="auto"/>
        <w:jc w:val="both"/>
        <w:rPr>
          <w:rFonts w:asciiTheme="majorHAnsi" w:hAnsiTheme="majorHAnsi" w:cs="Times New Roman"/>
          <w:u w:val="single"/>
        </w:rPr>
      </w:pPr>
      <w:r w:rsidRPr="004F3B4D">
        <w:rPr>
          <w:rFonts w:asciiTheme="majorHAnsi" w:hAnsiTheme="majorHAnsi" w:cs="Times New Roman"/>
          <w:b/>
          <w:u w:val="single"/>
        </w:rPr>
        <w:t>DISASTER PREPAREDNESS</w:t>
      </w:r>
    </w:p>
    <w:p w14:paraId="20501941" w14:textId="77777777" w:rsidR="000A2B1B" w:rsidRPr="004F3B4D" w:rsidRDefault="000A2B1B" w:rsidP="006B59EB">
      <w:pPr>
        <w:spacing w:after="0" w:line="240" w:lineRule="auto"/>
        <w:jc w:val="both"/>
        <w:rPr>
          <w:rFonts w:asciiTheme="majorHAnsi" w:hAnsiTheme="majorHAnsi" w:cs="Times New Roman"/>
        </w:rPr>
      </w:pPr>
    </w:p>
    <w:p w14:paraId="3BE592FA" w14:textId="12531DD8" w:rsidR="00025AE4" w:rsidRPr="005D004D" w:rsidRDefault="001250FB" w:rsidP="006B59EB">
      <w:pPr>
        <w:spacing w:after="0" w:line="240" w:lineRule="auto"/>
        <w:jc w:val="both"/>
        <w:rPr>
          <w:rFonts w:asciiTheme="majorHAnsi" w:hAnsiTheme="majorHAnsi" w:cs="Times New Roman"/>
        </w:rPr>
      </w:pPr>
      <w:r>
        <w:rPr>
          <w:rFonts w:asciiTheme="majorHAnsi" w:hAnsiTheme="majorHAnsi" w:cs="Times New Roman"/>
          <w:b/>
        </w:rPr>
        <w:t xml:space="preserve">VIPCL </w:t>
      </w:r>
      <w:r w:rsidR="00C430EC" w:rsidRPr="004F3B4D">
        <w:rPr>
          <w:rFonts w:asciiTheme="majorHAnsi" w:hAnsiTheme="majorHAnsi" w:cs="Times New Roman"/>
        </w:rPr>
        <w:t>maintains a Business Continuity Plan (BCP) designed to ensure safety of staff as well as members of the general public, safeguard the documents and records pertaining to all material / non-material events and information which would enable to return to normal operations with minimal disruption.  Detailed</w:t>
      </w:r>
      <w:r w:rsidR="00C430EC" w:rsidRPr="005D004D">
        <w:rPr>
          <w:rFonts w:asciiTheme="majorHAnsi" w:hAnsiTheme="majorHAnsi" w:cs="Times New Roman"/>
        </w:rPr>
        <w:t xml:space="preserve"> procedures for responding to an incident are part of the BCP.</w:t>
      </w:r>
    </w:p>
    <w:p w14:paraId="71445BC8" w14:textId="77777777" w:rsidR="00CE610F" w:rsidRPr="005D004D" w:rsidRDefault="00CE610F" w:rsidP="006B59EB">
      <w:pPr>
        <w:spacing w:after="0" w:line="240" w:lineRule="auto"/>
        <w:jc w:val="both"/>
        <w:rPr>
          <w:rFonts w:asciiTheme="majorHAnsi" w:hAnsiTheme="majorHAnsi" w:cs="Times New Roman"/>
        </w:rPr>
      </w:pPr>
    </w:p>
    <w:p w14:paraId="6681F520" w14:textId="77777777" w:rsidR="00025AE4"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rPr>
        <w:t>In the event of major incident, the first priority is the safety of the people, followed by immediate action to rescue or prevent further damage to the records.  Depending on the immediate threat, emergency response and recovery actions will take priority over all other Company activities.</w:t>
      </w:r>
    </w:p>
    <w:p w14:paraId="22A5B501" w14:textId="77777777" w:rsidR="00CE610F" w:rsidRPr="005D004D" w:rsidRDefault="00CE610F" w:rsidP="006B59EB">
      <w:pPr>
        <w:spacing w:after="0" w:line="240" w:lineRule="auto"/>
        <w:jc w:val="both"/>
        <w:rPr>
          <w:rFonts w:asciiTheme="majorHAnsi" w:hAnsiTheme="majorHAnsi" w:cs="Times New Roman"/>
        </w:rPr>
      </w:pPr>
    </w:p>
    <w:p w14:paraId="4A1D9BD0" w14:textId="77777777" w:rsidR="00025AE4"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rPr>
        <w:t>The Company has made appropriate provision for the backup of its digital collections, The backup copies are actively maintained to ensure their continued viability.  The Company’s BCP ensures that the digital collections and technical infrastructure required to manage and access them can be restored in the event of an emergency.</w:t>
      </w:r>
    </w:p>
    <w:p w14:paraId="6CEF5A18" w14:textId="77777777" w:rsidR="0014784F" w:rsidRPr="005D004D" w:rsidRDefault="0014784F" w:rsidP="006B59EB">
      <w:pPr>
        <w:spacing w:after="0" w:line="240" w:lineRule="auto"/>
        <w:jc w:val="both"/>
        <w:rPr>
          <w:rFonts w:asciiTheme="majorHAnsi" w:hAnsiTheme="majorHAnsi" w:cs="Times New Roman"/>
        </w:rPr>
      </w:pPr>
    </w:p>
    <w:p w14:paraId="35603B43" w14:textId="77777777" w:rsidR="00714E3F" w:rsidRPr="005D004D" w:rsidRDefault="00E316DB" w:rsidP="000A2B1B">
      <w:pPr>
        <w:pStyle w:val="ListParagraph"/>
        <w:numPr>
          <w:ilvl w:val="0"/>
          <w:numId w:val="1"/>
        </w:numPr>
        <w:spacing w:after="0" w:line="240" w:lineRule="auto"/>
        <w:jc w:val="both"/>
        <w:rPr>
          <w:rFonts w:asciiTheme="majorHAnsi" w:hAnsiTheme="majorHAnsi" w:cs="Times New Roman"/>
          <w:b/>
          <w:u w:val="single"/>
        </w:rPr>
      </w:pPr>
      <w:r w:rsidRPr="005D004D">
        <w:rPr>
          <w:rFonts w:asciiTheme="majorHAnsi" w:hAnsiTheme="majorHAnsi" w:cs="Times New Roman"/>
          <w:b/>
          <w:u w:val="single"/>
        </w:rPr>
        <w:t>AUTHORISATI</w:t>
      </w:r>
      <w:r w:rsidR="001537C9">
        <w:rPr>
          <w:rFonts w:asciiTheme="majorHAnsi" w:hAnsiTheme="majorHAnsi" w:cs="Times New Roman"/>
          <w:b/>
          <w:u w:val="single"/>
        </w:rPr>
        <w:t>ON TO KMPS TO SUO MOTO ACCEPT/</w:t>
      </w:r>
      <w:r w:rsidRPr="005D004D">
        <w:rPr>
          <w:rFonts w:asciiTheme="majorHAnsi" w:hAnsiTheme="majorHAnsi" w:cs="Times New Roman"/>
          <w:b/>
          <w:u w:val="single"/>
        </w:rPr>
        <w:t>DENY REPORTED EVENT OR INFORMATION</w:t>
      </w:r>
    </w:p>
    <w:p w14:paraId="47CE4C96" w14:textId="77777777" w:rsidR="00CE610F" w:rsidRPr="005D004D" w:rsidRDefault="00CE610F" w:rsidP="006B59EB">
      <w:pPr>
        <w:spacing w:after="0" w:line="240" w:lineRule="auto"/>
        <w:jc w:val="both"/>
        <w:rPr>
          <w:rFonts w:asciiTheme="majorHAnsi" w:hAnsiTheme="majorHAnsi" w:cs="Times New Roman"/>
        </w:rPr>
      </w:pPr>
    </w:p>
    <w:p w14:paraId="505CE8C3" w14:textId="77777777" w:rsidR="00714E3F"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rPr>
        <w:t xml:space="preserve">The Key Managerial Personnel (KMPs) consisting of the Managing / Whole-time Director, Chief Financial Officer and the Company Secretary are hereby jointly and severally authorised to </w:t>
      </w:r>
      <w:proofErr w:type="spellStart"/>
      <w:r w:rsidRPr="005D004D">
        <w:rPr>
          <w:rFonts w:asciiTheme="majorHAnsi" w:hAnsiTheme="majorHAnsi" w:cs="Times New Roman"/>
        </w:rPr>
        <w:t>suo</w:t>
      </w:r>
      <w:proofErr w:type="spellEnd"/>
      <w:r w:rsidRPr="005D004D">
        <w:rPr>
          <w:rFonts w:asciiTheme="majorHAnsi" w:hAnsiTheme="majorHAnsi" w:cs="Times New Roman"/>
        </w:rPr>
        <w:t xml:space="preserve"> m</w:t>
      </w:r>
      <w:r w:rsidR="001537C9">
        <w:rPr>
          <w:rFonts w:asciiTheme="majorHAnsi" w:hAnsiTheme="majorHAnsi" w:cs="Times New Roman"/>
        </w:rPr>
        <w:t>oto accept/</w:t>
      </w:r>
      <w:r w:rsidRPr="005D004D">
        <w:rPr>
          <w:rFonts w:asciiTheme="majorHAnsi" w:hAnsiTheme="majorHAnsi" w:cs="Times New Roman"/>
        </w:rPr>
        <w:t xml:space="preserve">deny any report event or information, which has been unauthorised made public by media or by any other means including but not limited to electronic means. They are further authorised to respond to the rumours amongst the general public, which has no basis or documentation, in a way which best protects the interests of the Company. Such action taken by the KMPs shall however, be brought to the attention of the Board of Directors at its immediately subsequent meeting. </w:t>
      </w:r>
    </w:p>
    <w:p w14:paraId="175A6B9E" w14:textId="77777777" w:rsidR="00CE610F" w:rsidRDefault="00CE610F" w:rsidP="006B59EB">
      <w:pPr>
        <w:spacing w:after="0" w:line="240" w:lineRule="auto"/>
        <w:jc w:val="both"/>
        <w:rPr>
          <w:rFonts w:asciiTheme="majorHAnsi" w:hAnsiTheme="majorHAnsi" w:cs="Times New Roman"/>
        </w:rPr>
      </w:pPr>
    </w:p>
    <w:p w14:paraId="02DF39A9" w14:textId="77777777" w:rsidR="00FE0142" w:rsidRDefault="00FE0142" w:rsidP="006B59EB">
      <w:pPr>
        <w:spacing w:after="0" w:line="240" w:lineRule="auto"/>
        <w:jc w:val="both"/>
        <w:rPr>
          <w:rFonts w:asciiTheme="majorHAnsi" w:hAnsiTheme="majorHAnsi" w:cs="Times New Roman"/>
        </w:rPr>
      </w:pPr>
    </w:p>
    <w:p w14:paraId="48B3B0C8" w14:textId="77777777" w:rsidR="00FE0142" w:rsidRDefault="00FE0142" w:rsidP="006B59EB">
      <w:pPr>
        <w:spacing w:after="0" w:line="240" w:lineRule="auto"/>
        <w:jc w:val="both"/>
        <w:rPr>
          <w:rFonts w:asciiTheme="majorHAnsi" w:hAnsiTheme="majorHAnsi" w:cs="Times New Roman"/>
        </w:rPr>
      </w:pPr>
    </w:p>
    <w:p w14:paraId="3091BED4" w14:textId="77777777" w:rsidR="00FE0142" w:rsidRPr="005D004D" w:rsidRDefault="00FE0142" w:rsidP="006B59EB">
      <w:pPr>
        <w:spacing w:after="0" w:line="240" w:lineRule="auto"/>
        <w:jc w:val="both"/>
        <w:rPr>
          <w:rFonts w:asciiTheme="majorHAnsi" w:hAnsiTheme="majorHAnsi" w:cs="Times New Roman"/>
        </w:rPr>
      </w:pPr>
    </w:p>
    <w:p w14:paraId="62529126" w14:textId="77777777" w:rsidR="00714E3F" w:rsidRPr="005D004D" w:rsidRDefault="00E316DB" w:rsidP="000A2B1B">
      <w:pPr>
        <w:pStyle w:val="ListParagraph"/>
        <w:numPr>
          <w:ilvl w:val="0"/>
          <w:numId w:val="1"/>
        </w:numPr>
        <w:spacing w:after="0" w:line="240" w:lineRule="auto"/>
        <w:jc w:val="both"/>
        <w:rPr>
          <w:rFonts w:asciiTheme="majorHAnsi" w:hAnsiTheme="majorHAnsi" w:cs="Times New Roman"/>
          <w:u w:val="single"/>
        </w:rPr>
      </w:pPr>
      <w:r w:rsidRPr="005D004D">
        <w:rPr>
          <w:rFonts w:asciiTheme="majorHAnsi" w:hAnsiTheme="majorHAnsi" w:cs="Times New Roman"/>
          <w:b/>
          <w:u w:val="single"/>
        </w:rPr>
        <w:t>COMPLIANCE OFFICER</w:t>
      </w:r>
    </w:p>
    <w:p w14:paraId="1497393F" w14:textId="77777777" w:rsidR="00CE610F" w:rsidRPr="005D004D" w:rsidRDefault="00CE610F" w:rsidP="006B59EB">
      <w:pPr>
        <w:spacing w:after="0" w:line="240" w:lineRule="auto"/>
        <w:jc w:val="both"/>
        <w:rPr>
          <w:rFonts w:asciiTheme="majorHAnsi" w:hAnsiTheme="majorHAnsi" w:cs="Times New Roman"/>
        </w:rPr>
      </w:pPr>
    </w:p>
    <w:p w14:paraId="087BE295" w14:textId="77777777" w:rsidR="00714E3F"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rPr>
        <w:t xml:space="preserve">The Compliance Officer for the Purpose of complying with the provisions of LODR shall be the Company Secretary of the Company. </w:t>
      </w:r>
    </w:p>
    <w:p w14:paraId="13B0268E" w14:textId="77777777" w:rsidR="00AF3346" w:rsidRPr="005D004D" w:rsidRDefault="00AF3346" w:rsidP="006B59EB">
      <w:pPr>
        <w:spacing w:after="0" w:line="240" w:lineRule="auto"/>
        <w:jc w:val="both"/>
        <w:rPr>
          <w:rFonts w:asciiTheme="majorHAnsi" w:hAnsiTheme="majorHAnsi" w:cs="Times New Roman"/>
        </w:rPr>
      </w:pPr>
    </w:p>
    <w:p w14:paraId="67C3C071" w14:textId="77777777" w:rsidR="00714E3F" w:rsidRPr="005D004D" w:rsidRDefault="00E316DB" w:rsidP="000A2B1B">
      <w:pPr>
        <w:pStyle w:val="ListParagraph"/>
        <w:numPr>
          <w:ilvl w:val="0"/>
          <w:numId w:val="1"/>
        </w:numPr>
        <w:spacing w:after="0" w:line="240" w:lineRule="auto"/>
        <w:jc w:val="both"/>
        <w:rPr>
          <w:rFonts w:asciiTheme="majorHAnsi" w:hAnsiTheme="majorHAnsi" w:cs="Times New Roman"/>
          <w:u w:val="single"/>
        </w:rPr>
      </w:pPr>
      <w:r w:rsidRPr="005D004D">
        <w:rPr>
          <w:rFonts w:asciiTheme="majorHAnsi" w:hAnsiTheme="majorHAnsi" w:cs="Times New Roman"/>
          <w:b/>
          <w:u w:val="single"/>
        </w:rPr>
        <w:t>POLICY REVIEW</w:t>
      </w:r>
    </w:p>
    <w:p w14:paraId="5BBAAB5B" w14:textId="77777777" w:rsidR="000A2B1B" w:rsidRPr="005D004D" w:rsidRDefault="000A2B1B" w:rsidP="006B59EB">
      <w:pPr>
        <w:spacing w:after="0" w:line="240" w:lineRule="auto"/>
        <w:jc w:val="both"/>
        <w:rPr>
          <w:rFonts w:asciiTheme="majorHAnsi" w:hAnsiTheme="majorHAnsi" w:cs="Times New Roman"/>
        </w:rPr>
      </w:pPr>
    </w:p>
    <w:p w14:paraId="234CA903" w14:textId="77777777" w:rsidR="00714E3F"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rPr>
        <w:t xml:space="preserve">This policy shall be subject to review as may be deemed necessary and to comply with any regulatory amendments or statutory modifications and subject to the necessary approvals of the Board of Directors. </w:t>
      </w:r>
    </w:p>
    <w:p w14:paraId="4EFCA198" w14:textId="77777777" w:rsidR="00CE610F" w:rsidRPr="005D004D" w:rsidRDefault="00CE610F" w:rsidP="006B59EB">
      <w:pPr>
        <w:spacing w:after="0" w:line="240" w:lineRule="auto"/>
        <w:jc w:val="both"/>
        <w:rPr>
          <w:rFonts w:asciiTheme="majorHAnsi" w:hAnsiTheme="majorHAnsi" w:cs="Times New Roman"/>
        </w:rPr>
      </w:pPr>
    </w:p>
    <w:p w14:paraId="4CD02553" w14:textId="77777777" w:rsidR="00714E3F" w:rsidRPr="005D004D" w:rsidRDefault="00E316DB" w:rsidP="000A2B1B">
      <w:pPr>
        <w:pStyle w:val="ListParagraph"/>
        <w:numPr>
          <w:ilvl w:val="0"/>
          <w:numId w:val="1"/>
        </w:numPr>
        <w:spacing w:after="0" w:line="240" w:lineRule="auto"/>
        <w:jc w:val="both"/>
        <w:rPr>
          <w:rFonts w:asciiTheme="majorHAnsi" w:hAnsiTheme="majorHAnsi" w:cs="Times New Roman"/>
          <w:b/>
          <w:u w:val="single"/>
        </w:rPr>
      </w:pPr>
      <w:r w:rsidRPr="005D004D">
        <w:rPr>
          <w:rFonts w:asciiTheme="majorHAnsi" w:hAnsiTheme="majorHAnsi" w:cs="Times New Roman"/>
          <w:b/>
          <w:u w:val="single"/>
        </w:rPr>
        <w:t xml:space="preserve">BOARD’S APPROVAL </w:t>
      </w:r>
    </w:p>
    <w:p w14:paraId="6834CA93" w14:textId="77777777" w:rsidR="00CE610F" w:rsidRPr="005D004D" w:rsidRDefault="00CE610F" w:rsidP="006B59EB">
      <w:pPr>
        <w:spacing w:after="0" w:line="240" w:lineRule="auto"/>
        <w:jc w:val="both"/>
        <w:rPr>
          <w:rFonts w:asciiTheme="majorHAnsi" w:hAnsiTheme="majorHAnsi" w:cs="Times New Roman"/>
          <w:b/>
        </w:rPr>
      </w:pPr>
    </w:p>
    <w:p w14:paraId="4C4C590C" w14:textId="77777777" w:rsidR="00FB4EAD" w:rsidRPr="005D004D" w:rsidRDefault="00C430EC" w:rsidP="006B59EB">
      <w:pPr>
        <w:spacing w:after="0" w:line="240" w:lineRule="auto"/>
        <w:jc w:val="both"/>
        <w:rPr>
          <w:rFonts w:asciiTheme="majorHAnsi" w:hAnsiTheme="majorHAnsi" w:cs="Times New Roman"/>
        </w:rPr>
      </w:pPr>
      <w:r w:rsidRPr="005D004D">
        <w:rPr>
          <w:rFonts w:asciiTheme="majorHAnsi" w:hAnsiTheme="majorHAnsi" w:cs="Times New Roman"/>
        </w:rPr>
        <w:t>This policy was approved by the Board of Directors at its meeting held on the date of approval of Board of Directors.</w:t>
      </w:r>
    </w:p>
    <w:p w14:paraId="2800ED90" w14:textId="77777777" w:rsidR="00CB1E1E" w:rsidRPr="005D004D" w:rsidRDefault="00CB1E1E" w:rsidP="006B59EB">
      <w:pPr>
        <w:spacing w:after="0" w:line="240" w:lineRule="auto"/>
        <w:jc w:val="both"/>
        <w:rPr>
          <w:rFonts w:asciiTheme="majorHAnsi" w:hAnsiTheme="majorHAnsi" w:cs="Times New Roman"/>
        </w:rPr>
      </w:pPr>
    </w:p>
    <w:p w14:paraId="46A67CBD" w14:textId="77777777" w:rsidR="00B84A2B" w:rsidRPr="005D004D" w:rsidRDefault="00E316DB" w:rsidP="00B84A2B">
      <w:pPr>
        <w:pStyle w:val="ListParagraph"/>
        <w:numPr>
          <w:ilvl w:val="0"/>
          <w:numId w:val="1"/>
        </w:numPr>
        <w:spacing w:after="0" w:line="240" w:lineRule="auto"/>
        <w:jc w:val="both"/>
        <w:rPr>
          <w:rFonts w:asciiTheme="majorHAnsi" w:hAnsiTheme="majorHAnsi" w:cs="Times New Roman"/>
          <w:b/>
          <w:u w:val="single"/>
        </w:rPr>
      </w:pPr>
      <w:r w:rsidRPr="005D004D">
        <w:rPr>
          <w:rFonts w:asciiTheme="majorHAnsi" w:hAnsiTheme="majorHAnsi" w:cs="Times New Roman"/>
          <w:b/>
          <w:u w:val="single"/>
        </w:rPr>
        <w:t>QUERIES RAISED BY THE STOCK EXCHANGE</w:t>
      </w:r>
    </w:p>
    <w:p w14:paraId="7C0C26D0" w14:textId="77777777" w:rsidR="00C430EC" w:rsidRPr="005D004D" w:rsidRDefault="00C430EC">
      <w:pPr>
        <w:pStyle w:val="ListParagraph"/>
        <w:spacing w:after="0" w:line="240" w:lineRule="auto"/>
        <w:jc w:val="both"/>
        <w:rPr>
          <w:rFonts w:asciiTheme="majorHAnsi" w:hAnsiTheme="majorHAnsi" w:cs="Times New Roman"/>
        </w:rPr>
      </w:pPr>
    </w:p>
    <w:p w14:paraId="7939F6B1" w14:textId="77777777" w:rsidR="00B84A2B" w:rsidRPr="005D004D" w:rsidRDefault="00C430EC" w:rsidP="00C10534">
      <w:pPr>
        <w:spacing w:after="0" w:line="240" w:lineRule="auto"/>
        <w:jc w:val="both"/>
        <w:rPr>
          <w:rFonts w:asciiTheme="majorHAnsi" w:hAnsiTheme="majorHAnsi" w:cs="Times New Roman"/>
        </w:rPr>
      </w:pPr>
      <w:r w:rsidRPr="005D004D">
        <w:rPr>
          <w:rFonts w:asciiTheme="majorHAnsi" w:hAnsiTheme="majorHAnsi" w:cs="Times New Roman"/>
        </w:rPr>
        <w:t>The Company shall provide specific and adequate reply to all queries raised by stock exchange with respect to any events or information. Provided that the stock exchange shall disseminate information and clarification as soon as reasonably practicable. The Company may on its own initiative also, confirm or deny any reported event or information to stock exchange.</w:t>
      </w:r>
    </w:p>
    <w:p w14:paraId="3FB9CB54" w14:textId="77777777" w:rsidR="00B84A2B" w:rsidRPr="005D004D" w:rsidRDefault="00B84A2B" w:rsidP="00B84A2B">
      <w:pPr>
        <w:pStyle w:val="ListParagraph"/>
        <w:spacing w:after="0" w:line="240" w:lineRule="auto"/>
        <w:jc w:val="both"/>
        <w:rPr>
          <w:rFonts w:asciiTheme="majorHAnsi" w:hAnsiTheme="majorHAnsi" w:cs="Times New Roman"/>
        </w:rPr>
      </w:pPr>
    </w:p>
    <w:p w14:paraId="55BA2610" w14:textId="77777777" w:rsidR="00B84A2B" w:rsidRPr="005D004D" w:rsidRDefault="00E316DB" w:rsidP="00B84A2B">
      <w:pPr>
        <w:pStyle w:val="ListParagraph"/>
        <w:numPr>
          <w:ilvl w:val="0"/>
          <w:numId w:val="1"/>
        </w:numPr>
        <w:spacing w:after="0" w:line="240" w:lineRule="auto"/>
        <w:jc w:val="both"/>
        <w:rPr>
          <w:rFonts w:asciiTheme="majorHAnsi" w:hAnsiTheme="majorHAnsi" w:cs="Times New Roman"/>
          <w:b/>
          <w:u w:val="single"/>
        </w:rPr>
      </w:pPr>
      <w:r w:rsidRPr="005D004D">
        <w:rPr>
          <w:rFonts w:asciiTheme="majorHAnsi" w:hAnsiTheme="majorHAnsi" w:cs="Times New Roman"/>
          <w:b/>
          <w:u w:val="single"/>
        </w:rPr>
        <w:t>OTHER DISCLOSURES</w:t>
      </w:r>
    </w:p>
    <w:p w14:paraId="615317C4" w14:textId="77777777" w:rsidR="00C430EC" w:rsidRPr="005D004D" w:rsidRDefault="00C430EC">
      <w:pPr>
        <w:pStyle w:val="ListParagraph"/>
        <w:spacing w:after="0" w:line="240" w:lineRule="auto"/>
        <w:jc w:val="both"/>
        <w:rPr>
          <w:rFonts w:asciiTheme="majorHAnsi" w:hAnsiTheme="majorHAnsi" w:cs="Times New Roman"/>
        </w:rPr>
      </w:pPr>
    </w:p>
    <w:p w14:paraId="4BC39FE1" w14:textId="77777777" w:rsidR="00B84A2B" w:rsidRPr="005D004D" w:rsidRDefault="00C430EC" w:rsidP="00C814CE">
      <w:pPr>
        <w:spacing w:after="0" w:line="240" w:lineRule="auto"/>
        <w:jc w:val="both"/>
        <w:rPr>
          <w:rFonts w:asciiTheme="majorHAnsi" w:hAnsiTheme="majorHAnsi" w:cs="Times New Roman"/>
        </w:rPr>
      </w:pPr>
      <w:r w:rsidRPr="005D004D">
        <w:rPr>
          <w:rFonts w:asciiTheme="majorHAnsi" w:hAnsiTheme="majorHAnsi" w:cs="Times New Roman"/>
        </w:rPr>
        <w:t>In case where an event occurs or an information is available with the Company, which has not been indicated in Clause A or Clause B above, but which may have material effect on it, the Company is required to make adequate disclosures in regard thereof.</w:t>
      </w:r>
    </w:p>
    <w:p w14:paraId="2AD9673C" w14:textId="77777777" w:rsidR="00777010" w:rsidRPr="005D004D" w:rsidRDefault="00777010" w:rsidP="006B59EB">
      <w:pPr>
        <w:spacing w:after="0" w:line="240" w:lineRule="auto"/>
        <w:jc w:val="both"/>
        <w:rPr>
          <w:rFonts w:asciiTheme="majorHAnsi" w:hAnsiTheme="majorHAnsi" w:cs="Times New Roman"/>
          <w:u w:val="single"/>
        </w:rPr>
      </w:pPr>
    </w:p>
    <w:p w14:paraId="715A433C" w14:textId="77777777" w:rsidR="00B84A2B" w:rsidRPr="005D004D" w:rsidRDefault="00E316DB" w:rsidP="00B84A2B">
      <w:pPr>
        <w:pStyle w:val="ListParagraph"/>
        <w:numPr>
          <w:ilvl w:val="0"/>
          <w:numId w:val="1"/>
        </w:numPr>
        <w:spacing w:after="0" w:line="240" w:lineRule="auto"/>
        <w:jc w:val="both"/>
        <w:rPr>
          <w:rFonts w:asciiTheme="majorHAnsi" w:hAnsiTheme="majorHAnsi" w:cs="Times New Roman"/>
          <w:b/>
          <w:u w:val="single"/>
        </w:rPr>
      </w:pPr>
      <w:r w:rsidRPr="005D004D">
        <w:rPr>
          <w:rFonts w:asciiTheme="majorHAnsi" w:hAnsiTheme="majorHAnsi" w:cs="Times New Roman"/>
          <w:b/>
          <w:u w:val="single"/>
        </w:rPr>
        <w:t>AMENDMENTS</w:t>
      </w:r>
    </w:p>
    <w:p w14:paraId="2ED237DA" w14:textId="77777777" w:rsidR="00C430EC" w:rsidRPr="005D004D" w:rsidRDefault="00C430EC">
      <w:pPr>
        <w:pStyle w:val="ListParagraph"/>
        <w:spacing w:after="0" w:line="240" w:lineRule="auto"/>
        <w:jc w:val="both"/>
        <w:rPr>
          <w:rFonts w:asciiTheme="majorHAnsi" w:hAnsiTheme="majorHAnsi" w:cs="Times New Roman"/>
        </w:rPr>
      </w:pPr>
    </w:p>
    <w:p w14:paraId="51B58521" w14:textId="77777777" w:rsidR="00C430EC" w:rsidRPr="005D004D" w:rsidRDefault="00C430EC" w:rsidP="00C814CE">
      <w:pPr>
        <w:spacing w:after="0" w:line="240" w:lineRule="auto"/>
        <w:jc w:val="both"/>
        <w:rPr>
          <w:rFonts w:asciiTheme="majorHAnsi" w:hAnsiTheme="majorHAnsi" w:cs="Times New Roman"/>
        </w:rPr>
      </w:pPr>
      <w:r w:rsidRPr="005D004D">
        <w:rPr>
          <w:rFonts w:asciiTheme="majorHAnsi" w:hAnsiTheme="majorHAnsi" w:cs="Times New Roman"/>
        </w:rPr>
        <w:t>The Board reserves the right to amend or modify this Policy in whole or in part, at any point of time.</w:t>
      </w:r>
    </w:p>
    <w:p w14:paraId="3BC12226" w14:textId="77777777" w:rsidR="00DE2B6E" w:rsidRPr="005D004D" w:rsidRDefault="00DE2B6E" w:rsidP="00C814CE">
      <w:pPr>
        <w:spacing w:after="0" w:line="240" w:lineRule="auto"/>
        <w:jc w:val="both"/>
        <w:rPr>
          <w:rFonts w:asciiTheme="majorHAnsi" w:hAnsiTheme="majorHAnsi" w:cs="Times New Roman"/>
        </w:rPr>
      </w:pPr>
    </w:p>
    <w:p w14:paraId="7B47D981" w14:textId="77777777" w:rsidR="00DE2B6E" w:rsidRPr="005D004D" w:rsidRDefault="00DE2B6E" w:rsidP="00C814CE">
      <w:pPr>
        <w:spacing w:after="0" w:line="240" w:lineRule="auto"/>
        <w:jc w:val="both"/>
        <w:rPr>
          <w:rFonts w:asciiTheme="majorHAnsi" w:hAnsiTheme="majorHAnsi" w:cs="Times New Roman"/>
        </w:rPr>
      </w:pPr>
    </w:p>
    <w:p w14:paraId="0E701191" w14:textId="77777777" w:rsidR="00311171" w:rsidRPr="00817DEE" w:rsidRDefault="00311171" w:rsidP="00311171">
      <w:pPr>
        <w:spacing w:after="0" w:line="240" w:lineRule="auto"/>
        <w:jc w:val="both"/>
        <w:rPr>
          <w:rFonts w:ascii="Cambria" w:hAnsi="Cambria" w:cs="Times New Roman"/>
        </w:rPr>
      </w:pPr>
      <w:r w:rsidRPr="00817DEE">
        <w:rPr>
          <w:rFonts w:ascii="Cambria" w:hAnsi="Cambria" w:cs="Times New Roman"/>
        </w:rPr>
        <w:t xml:space="preserve">By order of the Board </w:t>
      </w:r>
    </w:p>
    <w:p w14:paraId="7C5EAA22" w14:textId="535A132D" w:rsidR="006269F8" w:rsidRPr="00FA5475" w:rsidRDefault="006269F8" w:rsidP="006269F8">
      <w:pPr>
        <w:spacing w:after="0" w:line="240" w:lineRule="auto"/>
        <w:jc w:val="both"/>
        <w:rPr>
          <w:rFonts w:ascii="Cambria" w:hAnsi="Cambria" w:cs="Times New Roman"/>
          <w:b/>
        </w:rPr>
      </w:pPr>
      <w:r w:rsidRPr="00AB0727">
        <w:rPr>
          <w:rFonts w:ascii="Cambria" w:hAnsi="Cambria" w:cs="Times New Roman"/>
          <w:b/>
        </w:rPr>
        <w:t xml:space="preserve">For </w:t>
      </w:r>
      <w:r w:rsidR="001250FB" w:rsidRPr="001250FB">
        <w:rPr>
          <w:rFonts w:asciiTheme="majorHAnsi" w:hAnsiTheme="majorHAnsi" w:cs="Times New Roman"/>
          <w:b/>
        </w:rPr>
        <w:t>VENKATESHWARA INDUSTRIAL PROMOTION CO. LTD</w:t>
      </w:r>
    </w:p>
    <w:p w14:paraId="00C3E3C8" w14:textId="77777777" w:rsidR="006269F8" w:rsidRPr="00817DEE" w:rsidRDefault="006269F8" w:rsidP="006269F8">
      <w:pPr>
        <w:spacing w:after="0" w:line="240" w:lineRule="auto"/>
        <w:jc w:val="both"/>
        <w:rPr>
          <w:rFonts w:ascii="Cambria" w:hAnsi="Cambria" w:cs="Times New Roman"/>
        </w:rPr>
      </w:pPr>
    </w:p>
    <w:p w14:paraId="760623A7" w14:textId="77777777" w:rsidR="006269F8" w:rsidRPr="00AB0727" w:rsidRDefault="006269F8" w:rsidP="006269F8">
      <w:pPr>
        <w:spacing w:after="0" w:line="240" w:lineRule="auto"/>
        <w:jc w:val="both"/>
        <w:rPr>
          <w:rFonts w:ascii="Cambria" w:hAnsi="Cambria" w:cs="Times New Roman"/>
          <w:b/>
        </w:rPr>
      </w:pPr>
      <w:r>
        <w:rPr>
          <w:rFonts w:ascii="Cambria" w:hAnsi="Cambria" w:cs="Times New Roman"/>
          <w:b/>
        </w:rPr>
        <w:t>Sd/-</w:t>
      </w:r>
    </w:p>
    <w:p w14:paraId="6492C01E" w14:textId="795A46B7" w:rsidR="006269F8" w:rsidRPr="00AB0727" w:rsidRDefault="001250FB" w:rsidP="006269F8">
      <w:pPr>
        <w:tabs>
          <w:tab w:val="left" w:pos="720"/>
          <w:tab w:val="left" w:pos="1440"/>
          <w:tab w:val="left" w:pos="2835"/>
        </w:tabs>
        <w:spacing w:after="0" w:line="240" w:lineRule="auto"/>
        <w:jc w:val="both"/>
        <w:rPr>
          <w:rFonts w:ascii="Cambria" w:hAnsi="Cambria" w:cs="Times New Roman"/>
          <w:b/>
        </w:rPr>
      </w:pPr>
      <w:r>
        <w:rPr>
          <w:rFonts w:ascii="Cambria" w:hAnsi="Cambria" w:cs="Times New Roman"/>
          <w:b/>
        </w:rPr>
        <w:t xml:space="preserve">Nikhil Chandra Saha </w:t>
      </w:r>
      <w:r w:rsidR="006269F8" w:rsidRPr="00DD2BB0">
        <w:rPr>
          <w:rFonts w:ascii="Cambria" w:hAnsi="Cambria" w:cs="Times New Roman"/>
          <w:b/>
        </w:rPr>
        <w:t xml:space="preserve"> </w:t>
      </w:r>
      <w:r w:rsidR="006269F8">
        <w:rPr>
          <w:rFonts w:ascii="Cambria" w:hAnsi="Cambria" w:cs="Times New Roman"/>
          <w:b/>
        </w:rPr>
        <w:tab/>
      </w:r>
    </w:p>
    <w:p w14:paraId="6CE12D6A" w14:textId="77777777" w:rsidR="006269F8" w:rsidRPr="00AB0727" w:rsidRDefault="006269F8" w:rsidP="006269F8">
      <w:pPr>
        <w:spacing w:after="0" w:line="240" w:lineRule="auto"/>
        <w:jc w:val="both"/>
        <w:rPr>
          <w:rFonts w:ascii="Cambria" w:hAnsi="Cambria" w:cs="Times New Roman"/>
          <w:b/>
        </w:rPr>
      </w:pPr>
      <w:r w:rsidRPr="00AB0727">
        <w:rPr>
          <w:rFonts w:ascii="Cambria" w:hAnsi="Cambria" w:cs="Times New Roman"/>
          <w:b/>
        </w:rPr>
        <w:t>Managing Director</w:t>
      </w:r>
    </w:p>
    <w:p w14:paraId="159838A4" w14:textId="2AC313D2" w:rsidR="006269F8" w:rsidRPr="00AB0727" w:rsidRDefault="006269F8" w:rsidP="006269F8">
      <w:pPr>
        <w:spacing w:after="0" w:line="240" w:lineRule="auto"/>
        <w:jc w:val="both"/>
        <w:rPr>
          <w:rFonts w:ascii="Cambria" w:hAnsi="Cambria" w:cs="Times New Roman"/>
          <w:b/>
        </w:rPr>
      </w:pPr>
      <w:r w:rsidRPr="00AB0727">
        <w:rPr>
          <w:rFonts w:ascii="Cambria" w:hAnsi="Cambria" w:cs="Times New Roman"/>
          <w:b/>
        </w:rPr>
        <w:t xml:space="preserve">DIN: </w:t>
      </w:r>
      <w:hyperlink r:id="rId8" w:history="1">
        <w:r w:rsidR="001250FB">
          <w:rPr>
            <w:rFonts w:ascii="Cambria" w:hAnsi="Cambria" w:cs="Times New Roman"/>
            <w:b/>
          </w:rPr>
          <w:t>08392229</w:t>
        </w:r>
      </w:hyperlink>
    </w:p>
    <w:p w14:paraId="0BC1AC3F" w14:textId="77777777" w:rsidR="00DE2B6E" w:rsidRPr="00311171" w:rsidRDefault="00DE2B6E" w:rsidP="00311171">
      <w:pPr>
        <w:rPr>
          <w:rFonts w:ascii="Cambria" w:hAnsi="Cambria" w:cs="Times New Roman"/>
          <w:b/>
          <w:bCs/>
        </w:rPr>
      </w:pPr>
    </w:p>
    <w:sectPr w:rsidR="00DE2B6E" w:rsidRPr="00311171" w:rsidSect="001F2121">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0BCD" w14:textId="77777777" w:rsidR="00C162DE" w:rsidRDefault="00C162DE" w:rsidP="006B59EB">
      <w:pPr>
        <w:spacing w:after="0" w:line="240" w:lineRule="auto"/>
      </w:pPr>
      <w:r>
        <w:separator/>
      </w:r>
    </w:p>
  </w:endnote>
  <w:endnote w:type="continuationSeparator" w:id="0">
    <w:p w14:paraId="6EBF98A5" w14:textId="77777777" w:rsidR="00C162DE" w:rsidRDefault="00C162DE" w:rsidP="006B5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E29B" w14:textId="77777777" w:rsidR="00C162DE" w:rsidRPr="006B59EB" w:rsidRDefault="00C162DE" w:rsidP="001F5E67">
    <w:pPr>
      <w:pStyle w:val="Footer"/>
      <w:jc w:val="center"/>
      <w:rPr>
        <w:rFonts w:ascii="Book Antiqua" w:hAnsi="Book Antiqu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919F" w14:textId="77777777" w:rsidR="00C162DE" w:rsidRDefault="00C162DE" w:rsidP="006B59EB">
      <w:pPr>
        <w:spacing w:after="0" w:line="240" w:lineRule="auto"/>
      </w:pPr>
      <w:r>
        <w:separator/>
      </w:r>
    </w:p>
  </w:footnote>
  <w:footnote w:type="continuationSeparator" w:id="0">
    <w:p w14:paraId="67B9DC12" w14:textId="77777777" w:rsidR="00C162DE" w:rsidRDefault="00C162DE" w:rsidP="006B5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114"/>
    <w:multiLevelType w:val="hybridMultilevel"/>
    <w:tmpl w:val="AB6A6E36"/>
    <w:lvl w:ilvl="0" w:tplc="DA0C8F02">
      <w:start w:val="1"/>
      <w:numFmt w:val="lowerRoman"/>
      <w:lvlText w:val="(%1)"/>
      <w:lvlJc w:val="left"/>
      <w:pPr>
        <w:ind w:left="1440" w:hanging="720"/>
      </w:pPr>
      <w:rPr>
        <w:rFonts w:hint="default"/>
      </w:rPr>
    </w:lvl>
    <w:lvl w:ilvl="1" w:tplc="B94E89FA">
      <w:start w:val="1"/>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C2F181C"/>
    <w:multiLevelType w:val="hybridMultilevel"/>
    <w:tmpl w:val="AB6A6E36"/>
    <w:lvl w:ilvl="0" w:tplc="DA0C8F02">
      <w:start w:val="1"/>
      <w:numFmt w:val="lowerRoman"/>
      <w:lvlText w:val="(%1)"/>
      <w:lvlJc w:val="left"/>
      <w:pPr>
        <w:ind w:left="360" w:hanging="720"/>
      </w:pPr>
      <w:rPr>
        <w:rFonts w:hint="default"/>
      </w:rPr>
    </w:lvl>
    <w:lvl w:ilvl="1" w:tplc="B94E89FA">
      <w:start w:val="1"/>
      <w:numFmt w:val="lowerLetter"/>
      <w:lvlText w:val="(%2)"/>
      <w:lvlJc w:val="left"/>
      <w:pPr>
        <w:ind w:left="720" w:hanging="360"/>
      </w:pPr>
      <w:rPr>
        <w:rFonts w:hint="default"/>
      </w:r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2" w15:restartNumberingAfterBreak="0">
    <w:nsid w:val="141A63CC"/>
    <w:multiLevelType w:val="hybridMultilevel"/>
    <w:tmpl w:val="CBD2CD9A"/>
    <w:lvl w:ilvl="0" w:tplc="40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D56C23"/>
    <w:multiLevelType w:val="hybridMultilevel"/>
    <w:tmpl w:val="9860043C"/>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1DDF1A9B"/>
    <w:multiLevelType w:val="hybridMultilevel"/>
    <w:tmpl w:val="609253D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4D11F9"/>
    <w:multiLevelType w:val="hybridMultilevel"/>
    <w:tmpl w:val="B980F174"/>
    <w:lvl w:ilvl="0" w:tplc="C46049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F1947"/>
    <w:multiLevelType w:val="hybridMultilevel"/>
    <w:tmpl w:val="E592BB3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616609C"/>
    <w:multiLevelType w:val="hybridMultilevel"/>
    <w:tmpl w:val="609253D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7856DE"/>
    <w:multiLevelType w:val="hybridMultilevel"/>
    <w:tmpl w:val="A7DC0FE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0A9033E"/>
    <w:multiLevelType w:val="hybridMultilevel"/>
    <w:tmpl w:val="1B5ACC04"/>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C242A"/>
    <w:multiLevelType w:val="hybridMultilevel"/>
    <w:tmpl w:val="609253D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3F84284"/>
    <w:multiLevelType w:val="hybridMultilevel"/>
    <w:tmpl w:val="609253D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72929E4"/>
    <w:multiLevelType w:val="hybridMultilevel"/>
    <w:tmpl w:val="A2F8B06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54A30AE"/>
    <w:multiLevelType w:val="hybridMultilevel"/>
    <w:tmpl w:val="6B0C2D2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0F27FB2"/>
    <w:multiLevelType w:val="hybridMultilevel"/>
    <w:tmpl w:val="B120B182"/>
    <w:lvl w:ilvl="0" w:tplc="4EFC8E10">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2D1497E"/>
    <w:multiLevelType w:val="hybridMultilevel"/>
    <w:tmpl w:val="609253D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308055C"/>
    <w:multiLevelType w:val="hybridMultilevel"/>
    <w:tmpl w:val="2BB0460E"/>
    <w:lvl w:ilvl="0" w:tplc="C886595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15:restartNumberingAfterBreak="0">
    <w:nsid w:val="67876A5C"/>
    <w:multiLevelType w:val="hybridMultilevel"/>
    <w:tmpl w:val="AB6A6E36"/>
    <w:lvl w:ilvl="0" w:tplc="DA0C8F02">
      <w:start w:val="1"/>
      <w:numFmt w:val="lowerRoman"/>
      <w:lvlText w:val="(%1)"/>
      <w:lvlJc w:val="left"/>
      <w:pPr>
        <w:ind w:left="1440" w:hanging="720"/>
      </w:pPr>
      <w:rPr>
        <w:rFonts w:hint="default"/>
      </w:rPr>
    </w:lvl>
    <w:lvl w:ilvl="1" w:tplc="B94E89FA">
      <w:start w:val="1"/>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70C5040D"/>
    <w:multiLevelType w:val="hybridMultilevel"/>
    <w:tmpl w:val="4D38D88C"/>
    <w:lvl w:ilvl="0" w:tplc="B94E89F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264167">
    <w:abstractNumId w:val="14"/>
  </w:num>
  <w:num w:numId="2" w16cid:durableId="2088111109">
    <w:abstractNumId w:val="12"/>
  </w:num>
  <w:num w:numId="3" w16cid:durableId="1675036409">
    <w:abstractNumId w:val="8"/>
  </w:num>
  <w:num w:numId="4" w16cid:durableId="628173809">
    <w:abstractNumId w:val="13"/>
  </w:num>
  <w:num w:numId="5" w16cid:durableId="1258247625">
    <w:abstractNumId w:val="6"/>
  </w:num>
  <w:num w:numId="6" w16cid:durableId="1012490640">
    <w:abstractNumId w:val="0"/>
  </w:num>
  <w:num w:numId="7" w16cid:durableId="882642819">
    <w:abstractNumId w:val="3"/>
  </w:num>
  <w:num w:numId="8" w16cid:durableId="881163869">
    <w:abstractNumId w:val="16"/>
  </w:num>
  <w:num w:numId="9" w16cid:durableId="1981491649">
    <w:abstractNumId w:val="11"/>
  </w:num>
  <w:num w:numId="10" w16cid:durableId="2038500083">
    <w:abstractNumId w:val="2"/>
  </w:num>
  <w:num w:numId="11" w16cid:durableId="1419207850">
    <w:abstractNumId w:val="18"/>
  </w:num>
  <w:num w:numId="12" w16cid:durableId="1214466066">
    <w:abstractNumId w:val="15"/>
  </w:num>
  <w:num w:numId="13" w16cid:durableId="716707184">
    <w:abstractNumId w:val="9"/>
  </w:num>
  <w:num w:numId="14" w16cid:durableId="33510233">
    <w:abstractNumId w:val="5"/>
  </w:num>
  <w:num w:numId="15" w16cid:durableId="664477905">
    <w:abstractNumId w:val="7"/>
  </w:num>
  <w:num w:numId="16" w16cid:durableId="364134374">
    <w:abstractNumId w:val="17"/>
  </w:num>
  <w:num w:numId="17" w16cid:durableId="1625893091">
    <w:abstractNumId w:val="4"/>
  </w:num>
  <w:num w:numId="18" w16cid:durableId="984820134">
    <w:abstractNumId w:val="1"/>
  </w:num>
  <w:num w:numId="19" w16cid:durableId="13950103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E4"/>
    <w:rsid w:val="0000406F"/>
    <w:rsid w:val="00021B15"/>
    <w:rsid w:val="00025AE4"/>
    <w:rsid w:val="00045DB7"/>
    <w:rsid w:val="000511BA"/>
    <w:rsid w:val="000610F2"/>
    <w:rsid w:val="00062D84"/>
    <w:rsid w:val="0006697D"/>
    <w:rsid w:val="0007288A"/>
    <w:rsid w:val="00080A17"/>
    <w:rsid w:val="00087DB5"/>
    <w:rsid w:val="00092D9B"/>
    <w:rsid w:val="000A2B1B"/>
    <w:rsid w:val="000B2601"/>
    <w:rsid w:val="000D4FE9"/>
    <w:rsid w:val="000E29D9"/>
    <w:rsid w:val="000F076E"/>
    <w:rsid w:val="001250FB"/>
    <w:rsid w:val="001364B6"/>
    <w:rsid w:val="00145BD9"/>
    <w:rsid w:val="0014784F"/>
    <w:rsid w:val="0015204C"/>
    <w:rsid w:val="001537C9"/>
    <w:rsid w:val="001547E8"/>
    <w:rsid w:val="001968B9"/>
    <w:rsid w:val="0019799B"/>
    <w:rsid w:val="001B4A3C"/>
    <w:rsid w:val="001C0E4D"/>
    <w:rsid w:val="001D67A6"/>
    <w:rsid w:val="001E4842"/>
    <w:rsid w:val="001E6805"/>
    <w:rsid w:val="001F0536"/>
    <w:rsid w:val="001F2121"/>
    <w:rsid w:val="001F5E67"/>
    <w:rsid w:val="00236D3B"/>
    <w:rsid w:val="00250B28"/>
    <w:rsid w:val="00254869"/>
    <w:rsid w:val="00262465"/>
    <w:rsid w:val="0026259D"/>
    <w:rsid w:val="00285C15"/>
    <w:rsid w:val="002862E7"/>
    <w:rsid w:val="002A4AF7"/>
    <w:rsid w:val="002E0981"/>
    <w:rsid w:val="002E4D25"/>
    <w:rsid w:val="003030AA"/>
    <w:rsid w:val="00311171"/>
    <w:rsid w:val="00322C5C"/>
    <w:rsid w:val="003428A2"/>
    <w:rsid w:val="00351B6E"/>
    <w:rsid w:val="00362858"/>
    <w:rsid w:val="00381EF5"/>
    <w:rsid w:val="00383AFB"/>
    <w:rsid w:val="00393531"/>
    <w:rsid w:val="003A56C3"/>
    <w:rsid w:val="003C4D8B"/>
    <w:rsid w:val="003D56E4"/>
    <w:rsid w:val="004125C6"/>
    <w:rsid w:val="00416676"/>
    <w:rsid w:val="00452C06"/>
    <w:rsid w:val="004706E3"/>
    <w:rsid w:val="0047351E"/>
    <w:rsid w:val="004743CA"/>
    <w:rsid w:val="00480BB5"/>
    <w:rsid w:val="00481D61"/>
    <w:rsid w:val="00486202"/>
    <w:rsid w:val="00487FE6"/>
    <w:rsid w:val="0049680C"/>
    <w:rsid w:val="004B5E4F"/>
    <w:rsid w:val="004C4AF1"/>
    <w:rsid w:val="004C6567"/>
    <w:rsid w:val="004D73CF"/>
    <w:rsid w:val="004D7E27"/>
    <w:rsid w:val="004F3B4D"/>
    <w:rsid w:val="004F672E"/>
    <w:rsid w:val="00502B6A"/>
    <w:rsid w:val="005177B8"/>
    <w:rsid w:val="00527076"/>
    <w:rsid w:val="00552752"/>
    <w:rsid w:val="00552FB9"/>
    <w:rsid w:val="005761A3"/>
    <w:rsid w:val="0059206D"/>
    <w:rsid w:val="005A78BB"/>
    <w:rsid w:val="005D004D"/>
    <w:rsid w:val="00604FE4"/>
    <w:rsid w:val="00606113"/>
    <w:rsid w:val="00610D52"/>
    <w:rsid w:val="006269F8"/>
    <w:rsid w:val="0065365F"/>
    <w:rsid w:val="00672EE8"/>
    <w:rsid w:val="00677F8F"/>
    <w:rsid w:val="0068067B"/>
    <w:rsid w:val="0068537F"/>
    <w:rsid w:val="00690D89"/>
    <w:rsid w:val="006913E4"/>
    <w:rsid w:val="006A0A70"/>
    <w:rsid w:val="006B37BF"/>
    <w:rsid w:val="006B59EB"/>
    <w:rsid w:val="006B5DC6"/>
    <w:rsid w:val="006C5AB6"/>
    <w:rsid w:val="006D67A3"/>
    <w:rsid w:val="006E050C"/>
    <w:rsid w:val="00714E3F"/>
    <w:rsid w:val="00735DD1"/>
    <w:rsid w:val="0074000E"/>
    <w:rsid w:val="00743CEA"/>
    <w:rsid w:val="0076397B"/>
    <w:rsid w:val="0077138C"/>
    <w:rsid w:val="00777010"/>
    <w:rsid w:val="007A5D47"/>
    <w:rsid w:val="007A6B24"/>
    <w:rsid w:val="007F2836"/>
    <w:rsid w:val="007F6168"/>
    <w:rsid w:val="0083310D"/>
    <w:rsid w:val="008376C4"/>
    <w:rsid w:val="008404E3"/>
    <w:rsid w:val="008473F9"/>
    <w:rsid w:val="00883CA3"/>
    <w:rsid w:val="008A034C"/>
    <w:rsid w:val="008F6B84"/>
    <w:rsid w:val="00912BCE"/>
    <w:rsid w:val="00937592"/>
    <w:rsid w:val="00962C40"/>
    <w:rsid w:val="009A06B6"/>
    <w:rsid w:val="009B0D93"/>
    <w:rsid w:val="009B407D"/>
    <w:rsid w:val="009E2316"/>
    <w:rsid w:val="009F3A49"/>
    <w:rsid w:val="00A263BA"/>
    <w:rsid w:val="00A346B4"/>
    <w:rsid w:val="00A64AE3"/>
    <w:rsid w:val="00A94914"/>
    <w:rsid w:val="00AC381C"/>
    <w:rsid w:val="00AC45CB"/>
    <w:rsid w:val="00AF2D15"/>
    <w:rsid w:val="00AF3346"/>
    <w:rsid w:val="00B306D9"/>
    <w:rsid w:val="00B422E6"/>
    <w:rsid w:val="00B84A2B"/>
    <w:rsid w:val="00B93BCC"/>
    <w:rsid w:val="00BA3E80"/>
    <w:rsid w:val="00BE3799"/>
    <w:rsid w:val="00BE4DB1"/>
    <w:rsid w:val="00BF0CCF"/>
    <w:rsid w:val="00BF2418"/>
    <w:rsid w:val="00BF6C4B"/>
    <w:rsid w:val="00BF7338"/>
    <w:rsid w:val="00C10534"/>
    <w:rsid w:val="00C162DE"/>
    <w:rsid w:val="00C35467"/>
    <w:rsid w:val="00C430EC"/>
    <w:rsid w:val="00C45EAA"/>
    <w:rsid w:val="00C47151"/>
    <w:rsid w:val="00C54D24"/>
    <w:rsid w:val="00C62096"/>
    <w:rsid w:val="00C814CE"/>
    <w:rsid w:val="00C938FD"/>
    <w:rsid w:val="00CB1E1E"/>
    <w:rsid w:val="00CB7AB9"/>
    <w:rsid w:val="00CC3F78"/>
    <w:rsid w:val="00CD357C"/>
    <w:rsid w:val="00CE4F5A"/>
    <w:rsid w:val="00CE610F"/>
    <w:rsid w:val="00D202B3"/>
    <w:rsid w:val="00D2695B"/>
    <w:rsid w:val="00D405DD"/>
    <w:rsid w:val="00D47923"/>
    <w:rsid w:val="00D64EA2"/>
    <w:rsid w:val="00D76AB6"/>
    <w:rsid w:val="00D87170"/>
    <w:rsid w:val="00D95BA4"/>
    <w:rsid w:val="00DB094E"/>
    <w:rsid w:val="00DB32FE"/>
    <w:rsid w:val="00DC60BB"/>
    <w:rsid w:val="00DC7B6E"/>
    <w:rsid w:val="00DE29C8"/>
    <w:rsid w:val="00DE2B6E"/>
    <w:rsid w:val="00DE2E58"/>
    <w:rsid w:val="00DE315A"/>
    <w:rsid w:val="00E01BAD"/>
    <w:rsid w:val="00E022DE"/>
    <w:rsid w:val="00E13D17"/>
    <w:rsid w:val="00E262FE"/>
    <w:rsid w:val="00E316DB"/>
    <w:rsid w:val="00E37E40"/>
    <w:rsid w:val="00E54D2E"/>
    <w:rsid w:val="00E56F2A"/>
    <w:rsid w:val="00E87B8C"/>
    <w:rsid w:val="00E968FC"/>
    <w:rsid w:val="00ED13D8"/>
    <w:rsid w:val="00ED4EDA"/>
    <w:rsid w:val="00EE2559"/>
    <w:rsid w:val="00F159EA"/>
    <w:rsid w:val="00F27D8F"/>
    <w:rsid w:val="00F42D39"/>
    <w:rsid w:val="00F54820"/>
    <w:rsid w:val="00F66CAF"/>
    <w:rsid w:val="00F77F97"/>
    <w:rsid w:val="00F81AEF"/>
    <w:rsid w:val="00F821EB"/>
    <w:rsid w:val="00F93520"/>
    <w:rsid w:val="00FA08DF"/>
    <w:rsid w:val="00FB1236"/>
    <w:rsid w:val="00FB329E"/>
    <w:rsid w:val="00FB4EAD"/>
    <w:rsid w:val="00FC3C84"/>
    <w:rsid w:val="00FC642C"/>
    <w:rsid w:val="00FD27AD"/>
    <w:rsid w:val="00FE0142"/>
    <w:rsid w:val="00FE0208"/>
    <w:rsid w:val="00FE3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BC77"/>
  <w15:docId w15:val="{65974E72-D071-4BF8-989F-BC3739F8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AE4"/>
    <w:pPr>
      <w:ind w:left="720"/>
      <w:contextualSpacing/>
    </w:pPr>
  </w:style>
  <w:style w:type="paragraph" w:styleId="Header">
    <w:name w:val="header"/>
    <w:basedOn w:val="Normal"/>
    <w:link w:val="HeaderChar"/>
    <w:uiPriority w:val="99"/>
    <w:semiHidden/>
    <w:unhideWhenUsed/>
    <w:rsid w:val="006B59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59EB"/>
  </w:style>
  <w:style w:type="paragraph" w:styleId="Footer">
    <w:name w:val="footer"/>
    <w:basedOn w:val="Normal"/>
    <w:link w:val="FooterChar"/>
    <w:uiPriority w:val="99"/>
    <w:unhideWhenUsed/>
    <w:rsid w:val="006B5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9EB"/>
  </w:style>
  <w:style w:type="paragraph" w:styleId="BalloonText">
    <w:name w:val="Balloon Text"/>
    <w:basedOn w:val="Normal"/>
    <w:link w:val="BalloonTextChar"/>
    <w:uiPriority w:val="99"/>
    <w:semiHidden/>
    <w:unhideWhenUsed/>
    <w:rsid w:val="00A94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14"/>
    <w:rPr>
      <w:rFonts w:ascii="Tahoma" w:hAnsi="Tahoma" w:cs="Tahoma"/>
      <w:sz w:val="16"/>
      <w:szCs w:val="16"/>
    </w:rPr>
  </w:style>
  <w:style w:type="character" w:styleId="CommentReference">
    <w:name w:val="annotation reference"/>
    <w:basedOn w:val="DefaultParagraphFont"/>
    <w:uiPriority w:val="99"/>
    <w:semiHidden/>
    <w:unhideWhenUsed/>
    <w:rsid w:val="00080A17"/>
    <w:rPr>
      <w:sz w:val="16"/>
      <w:szCs w:val="16"/>
    </w:rPr>
  </w:style>
  <w:style w:type="paragraph" w:styleId="CommentText">
    <w:name w:val="annotation text"/>
    <w:basedOn w:val="Normal"/>
    <w:link w:val="CommentTextChar"/>
    <w:uiPriority w:val="99"/>
    <w:semiHidden/>
    <w:unhideWhenUsed/>
    <w:rsid w:val="00080A17"/>
    <w:pPr>
      <w:spacing w:line="240" w:lineRule="auto"/>
    </w:pPr>
    <w:rPr>
      <w:sz w:val="20"/>
      <w:szCs w:val="20"/>
    </w:rPr>
  </w:style>
  <w:style w:type="character" w:customStyle="1" w:styleId="CommentTextChar">
    <w:name w:val="Comment Text Char"/>
    <w:basedOn w:val="DefaultParagraphFont"/>
    <w:link w:val="CommentText"/>
    <w:uiPriority w:val="99"/>
    <w:semiHidden/>
    <w:rsid w:val="00080A17"/>
    <w:rPr>
      <w:sz w:val="20"/>
      <w:szCs w:val="20"/>
    </w:rPr>
  </w:style>
  <w:style w:type="paragraph" w:styleId="CommentSubject">
    <w:name w:val="annotation subject"/>
    <w:basedOn w:val="CommentText"/>
    <w:next w:val="CommentText"/>
    <w:link w:val="CommentSubjectChar"/>
    <w:uiPriority w:val="99"/>
    <w:semiHidden/>
    <w:unhideWhenUsed/>
    <w:rsid w:val="00080A17"/>
    <w:rPr>
      <w:b/>
      <w:bCs/>
    </w:rPr>
  </w:style>
  <w:style w:type="character" w:customStyle="1" w:styleId="CommentSubjectChar">
    <w:name w:val="Comment Subject Char"/>
    <w:basedOn w:val="CommentTextChar"/>
    <w:link w:val="CommentSubject"/>
    <w:uiPriority w:val="99"/>
    <w:semiHidden/>
    <w:rsid w:val="00080A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64459">
      <w:bodyDiv w:val="1"/>
      <w:marLeft w:val="0"/>
      <w:marRight w:val="0"/>
      <w:marTop w:val="0"/>
      <w:marBottom w:val="0"/>
      <w:divBdr>
        <w:top w:val="none" w:sz="0" w:space="0" w:color="auto"/>
        <w:left w:val="none" w:sz="0" w:space="0" w:color="auto"/>
        <w:bottom w:val="none" w:sz="0" w:space="0" w:color="auto"/>
        <w:right w:val="none" w:sz="0" w:space="0" w:color="auto"/>
      </w:divBdr>
    </w:div>
    <w:div w:id="119796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ca.gov.in/mcafoportal/companyLLPMasterData.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002B-1C5D-48A4-9470-6F3467B0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dc:creator>
  <cp:lastModifiedBy>Manpreet sehgal</cp:lastModifiedBy>
  <cp:revision>2</cp:revision>
  <cp:lastPrinted>2017-04-24T12:41:00Z</cp:lastPrinted>
  <dcterms:created xsi:type="dcterms:W3CDTF">2024-04-16T08:04:00Z</dcterms:created>
  <dcterms:modified xsi:type="dcterms:W3CDTF">2024-04-16T08:04:00Z</dcterms:modified>
</cp:coreProperties>
</file>